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rsidR="00C64701" w:rsidRDefault="00000000">
      <w:pPr>
        <w:overflowPunct/>
        <w:topLinePunct w:val="0"/>
        <w:autoSpaceDE w:val="0"/>
        <w:spacing w:line="594" w:lineRule="exact"/>
        <w:rPr>
          <w:rFonts w:eastAsia="黑体"/>
          <w:kern w:val="0"/>
        </w:rPr>
      </w:pPr>
      <w:bookmarkStart w:id="0" w:name="_BodyText"/>
      <w:r>
        <w:rPr>
          <w:rFonts w:eastAsia="黑体"/>
          <w:kern w:val="0"/>
        </w:rPr>
        <w:t>附件</w:t>
      </w:r>
      <w:r>
        <w:rPr>
          <w:rFonts w:eastAsia="Nimbus Roman No9 L" w:cs="Nimbus Roman No9 L"/>
        </w:rPr>
        <w:t>1</w:t>
      </w:r>
    </w:p>
    <w:p w:rsidR="00C64701" w:rsidRDefault="00000000">
      <w:pPr>
        <w:overflowPunct/>
        <w:topLinePunct w:val="0"/>
        <w:autoSpaceDE w:val="0"/>
        <w:spacing w:line="594" w:lineRule="exact"/>
        <w:rPr>
          <w:rFonts w:eastAsia="黑体"/>
          <w:kern w:val="0"/>
        </w:rPr>
      </w:pPr>
      <w:r>
        <w:rPr>
          <w:rFonts w:eastAsia="黑体"/>
          <w:kern w:val="0"/>
          <w:lang w:bidi="ar"/>
        </w:rPr>
        <w:t xml:space="preserve">  </w:t>
      </w:r>
    </w:p>
    <w:p w:rsidR="00C64701" w:rsidRDefault="00000000">
      <w:pPr>
        <w:overflowPunct/>
        <w:topLinePunct w:val="0"/>
        <w:autoSpaceDE w:val="0"/>
        <w:spacing w:line="594" w:lineRule="exact"/>
        <w:jc w:val="center"/>
        <w:rPr>
          <w:rFonts w:eastAsia="方正小标宋简体"/>
          <w:kern w:val="0"/>
          <w:sz w:val="44"/>
          <w:szCs w:val="44"/>
        </w:rPr>
      </w:pPr>
      <w:r>
        <w:rPr>
          <w:rFonts w:eastAsia="方正小标宋简体"/>
          <w:kern w:val="0"/>
          <w:sz w:val="44"/>
          <w:szCs w:val="44"/>
          <w:lang w:bidi="ar"/>
        </w:rPr>
        <w:t>第</w:t>
      </w:r>
      <w:r>
        <w:rPr>
          <w:rFonts w:eastAsia="方正小标宋简体" w:hint="eastAsia"/>
          <w:kern w:val="0"/>
          <w:sz w:val="44"/>
          <w:szCs w:val="44"/>
          <w:lang w:bidi="ar"/>
        </w:rPr>
        <w:t>三</w:t>
      </w:r>
      <w:r>
        <w:rPr>
          <w:rFonts w:eastAsia="方正小标宋简体"/>
          <w:kern w:val="0"/>
          <w:sz w:val="44"/>
          <w:szCs w:val="44"/>
          <w:lang w:bidi="ar"/>
        </w:rPr>
        <w:t>届</w:t>
      </w:r>
      <w:r>
        <w:rPr>
          <w:rFonts w:eastAsia="方正小标宋简体" w:hint="eastAsia"/>
          <w:kern w:val="0"/>
          <w:sz w:val="44"/>
          <w:szCs w:val="44"/>
          <w:lang w:bidi="ar"/>
        </w:rPr>
        <w:t>“</w:t>
      </w:r>
      <w:r>
        <w:rPr>
          <w:rFonts w:eastAsia="方正小标宋简体"/>
          <w:kern w:val="0"/>
          <w:sz w:val="44"/>
          <w:szCs w:val="44"/>
          <w:lang w:bidi="ar"/>
        </w:rPr>
        <w:t>全国个体工商户服务月</w:t>
      </w:r>
      <w:r>
        <w:rPr>
          <w:rFonts w:eastAsia="方正小标宋简体" w:hint="eastAsia"/>
          <w:kern w:val="0"/>
          <w:sz w:val="44"/>
          <w:szCs w:val="44"/>
          <w:lang w:bidi="ar"/>
        </w:rPr>
        <w:t>”</w:t>
      </w:r>
      <w:r>
        <w:rPr>
          <w:rFonts w:eastAsia="方正小标宋简体"/>
          <w:kern w:val="0"/>
          <w:sz w:val="44"/>
          <w:szCs w:val="44"/>
          <w:lang w:bidi="ar"/>
        </w:rPr>
        <w:t>主要活动</w:t>
      </w:r>
    </w:p>
    <w:p w:rsidR="00C64701" w:rsidRDefault="00C64701">
      <w:pPr>
        <w:overflowPunct/>
        <w:topLinePunct w:val="0"/>
        <w:spacing w:line="594" w:lineRule="exact"/>
        <w:ind w:firstLineChars="200" w:firstLine="632"/>
        <w:rPr>
          <w:kern w:val="0"/>
          <w:lang w:bidi="ar"/>
        </w:rPr>
      </w:pPr>
    </w:p>
    <w:p w:rsidR="00C64701" w:rsidRDefault="00000000">
      <w:pPr>
        <w:widowControl/>
        <w:overflowPunct/>
        <w:topLinePunct w:val="0"/>
        <w:spacing w:line="594" w:lineRule="exact"/>
        <w:ind w:firstLineChars="200" w:firstLine="632"/>
        <w:rPr>
          <w:rFonts w:eastAsia="黑体"/>
        </w:rPr>
      </w:pPr>
      <w:r>
        <w:rPr>
          <w:rFonts w:eastAsia="黑体"/>
          <w:kern w:val="0"/>
          <w:lang w:bidi="ar"/>
        </w:rPr>
        <w:t>一、市场监管总局</w:t>
      </w:r>
      <w:r>
        <w:rPr>
          <w:rFonts w:eastAsia="黑体"/>
        </w:rPr>
        <w:t>围绕</w:t>
      </w:r>
      <w:r>
        <w:rPr>
          <w:rFonts w:eastAsia="黑体" w:hint="eastAsia"/>
        </w:rPr>
        <w:t>“加强对个体工商户分类帮扶支持”</w:t>
      </w:r>
      <w:r>
        <w:rPr>
          <w:rFonts w:eastAsia="黑体"/>
        </w:rPr>
        <w:t>开展活动</w:t>
      </w:r>
    </w:p>
    <w:p w:rsidR="00C64701" w:rsidRDefault="00000000">
      <w:pPr>
        <w:spacing w:line="594" w:lineRule="exact"/>
        <w:ind w:firstLineChars="200" w:firstLine="632"/>
        <w:rPr>
          <w:rFonts w:eastAsia="楷体" w:cs="楷体"/>
        </w:rPr>
      </w:pPr>
      <w:r>
        <w:rPr>
          <w:rFonts w:eastAsia="楷体_GB2312" w:cs="楷体_GB2312" w:hint="eastAsia"/>
        </w:rPr>
        <w:t>（一）举办第三届“全国个体工商户服务月”活动启动仪式。</w:t>
      </w:r>
      <w:r>
        <w:rPr>
          <w:rFonts w:cs="仿宋_GB2312" w:hint="eastAsia"/>
        </w:rPr>
        <w:t>会同相关部门联合举办“服务月”活动启动仪式，明确工作要求、做好活动预热和新闻宣传，动员部署地方各级市场监管部门全面启动“服务月”各项活动，确保活动取得良好开局。召开总局个体工商户座谈会，听取个体工商户、“小个专”党建、金融机构、网约配送员代表意见建议，对提出的具体问题进行跟踪办理。</w:t>
      </w:r>
    </w:p>
    <w:p w:rsidR="00C64701" w:rsidRDefault="00000000">
      <w:pPr>
        <w:spacing w:line="594" w:lineRule="exact"/>
        <w:ind w:firstLineChars="200" w:firstLine="632"/>
        <w:rPr>
          <w:rFonts w:cs="仿宋_GB2312"/>
        </w:rPr>
      </w:pPr>
      <w:r>
        <w:rPr>
          <w:rFonts w:eastAsia="楷体" w:cs="楷体" w:hint="eastAsia"/>
        </w:rPr>
        <w:t>（二）开展个体工商户分型分类精准帮扶。</w:t>
      </w:r>
      <w:r>
        <w:rPr>
          <w:rFonts w:cs="仿宋_GB2312" w:hint="eastAsia"/>
        </w:rPr>
        <w:t>发布“名特优新”个体工商户统一标识。部署地方市场监管部门扎实推进个体工商户分型分类各项工作，在“服务月”期间加大宣传力度，组织好“名特优新”个体工商户的申报和推荐工作，会同地方各相关部门研究出台针对性帮扶政策。讲述个体工商户精彩创业故事，举办个体工商户风采巡礼，展现各行业个体工商户爱国敬业、诚实守信、积极进取的良好风貌。通过“名特优新”个体工商户产品推</w:t>
      </w:r>
      <w:r>
        <w:rPr>
          <w:rFonts w:cs="仿宋_GB2312" w:hint="eastAsia"/>
        </w:rPr>
        <w:lastRenderedPageBreak/>
        <w:t>介会等方式，展示非遗相关产品、特色农副产品、创新创意产品、“网红”旅游打卡店等个体工商户特色产品和服务，增强“名特优新”个体工商户知名度和影响力。</w:t>
      </w:r>
    </w:p>
    <w:p w:rsidR="00C64701" w:rsidRDefault="00000000">
      <w:pPr>
        <w:overflowPunct/>
        <w:topLinePunct w:val="0"/>
        <w:spacing w:line="594" w:lineRule="exact"/>
        <w:ind w:firstLine="640"/>
        <w:rPr>
          <w:rFonts w:ascii="仿宋_GB2312" w:hAnsi="仿宋_GB2312" w:cs="仿宋_GB2312" w:hint="eastAsia"/>
        </w:rPr>
      </w:pPr>
      <w:r>
        <w:rPr>
          <w:rFonts w:ascii="楷体_GB2312" w:eastAsia="楷体_GB2312" w:hAnsi="楷体_GB2312" w:cs="楷体_GB2312" w:hint="eastAsia"/>
        </w:rPr>
        <w:t>（三）部署个体工商户信用风险分类管理。</w:t>
      </w:r>
      <w:r>
        <w:rPr>
          <w:rFonts w:ascii="仿宋_GB2312" w:hAnsi="仿宋_GB2312" w:cs="仿宋_GB2312" w:hint="eastAsia"/>
        </w:rPr>
        <w:t>召开个体工商户信用风险分类管理动员部署会，部署地方市场监管部门全面实施个体工商户信用风险分类管理。加大宣传力度，在央媒及局属媒体宣传解读个体工商户信用风险分类管理政策规定。回应基层关切，对基层普遍关心的问题释疑解惑，加强业务指导。</w:t>
      </w:r>
    </w:p>
    <w:p w:rsidR="00C64701" w:rsidRDefault="00000000">
      <w:pPr>
        <w:overflowPunct/>
        <w:topLinePunct w:val="0"/>
        <w:spacing w:line="594" w:lineRule="exact"/>
        <w:ind w:firstLine="640"/>
        <w:rPr>
          <w:rFonts w:cs="仿宋_GB2312"/>
        </w:rPr>
      </w:pPr>
      <w:r>
        <w:rPr>
          <w:rFonts w:eastAsia="楷体" w:cs="楷体" w:hint="eastAsia"/>
        </w:rPr>
        <w:t>（四）上线发布“全国个体工商户发展网”。</w:t>
      </w:r>
      <w:r>
        <w:rPr>
          <w:rFonts w:cs="仿宋_GB2312" w:hint="eastAsia"/>
        </w:rPr>
        <w:t>组织总局相关单位做好“全国个体工商户发展网”建设工作，充实平台内容、完善服务手段、提升技术保障水平。对社会公众正式发布“全国个体工商户发展网”（</w:t>
      </w:r>
      <w:r>
        <w:rPr>
          <w:rFonts w:cs="仿宋_GB2312" w:hint="eastAsia"/>
        </w:rPr>
        <w:t>www.gtgsh.com</w:t>
      </w:r>
      <w:r>
        <w:rPr>
          <w:rFonts w:cs="仿宋_GB2312" w:hint="eastAsia"/>
        </w:rPr>
        <w:t>），为个体工商户提供多样化、市场化、常态化服务。围绕个体工商户政策咨询、证照办理、财税管理、法律咨询、人力资源、技能培训、原材料采购、金融支持等各方面需求，链接各地政府相关部门、行业协会、互联网平台、金融机构等，“大手拉小手”帮助个体工商户快速找到解决方案，提升资源配置效率。</w:t>
      </w:r>
    </w:p>
    <w:p w:rsidR="00C64701" w:rsidRDefault="00000000">
      <w:pPr>
        <w:spacing w:line="594" w:lineRule="exact"/>
        <w:ind w:firstLineChars="200" w:firstLine="632"/>
        <w:rPr>
          <w:rFonts w:cs="仿宋_GB2312"/>
        </w:rPr>
      </w:pPr>
      <w:r>
        <w:rPr>
          <w:rFonts w:eastAsia="楷体" w:cs="楷体" w:hint="eastAsia"/>
        </w:rPr>
        <w:t>（五）开展个体工商户转型升级联合调研。</w:t>
      </w:r>
      <w:r>
        <w:rPr>
          <w:rFonts w:cs="仿宋_GB2312" w:hint="eastAsia"/>
        </w:rPr>
        <w:t>会同相关部门，针对“个转企”过程中面临的登记注册程序、行政许可延续、后续激励扶持政策等难点问题，赴基层开展联合调研，力争在制度</w:t>
      </w:r>
      <w:r>
        <w:rPr>
          <w:rFonts w:cs="仿宋_GB2312" w:hint="eastAsia"/>
        </w:rPr>
        <w:lastRenderedPageBreak/>
        <w:t>建设和服务路径上形成共识。完善《个体工商户促进发展和规范登记管理规定》中关于“个转企”的规定，推动尽快出台实施。</w:t>
      </w:r>
    </w:p>
    <w:p w:rsidR="00C64701" w:rsidRDefault="00000000">
      <w:pPr>
        <w:spacing w:line="594" w:lineRule="exact"/>
        <w:ind w:firstLineChars="200" w:firstLine="632"/>
        <w:rPr>
          <w:rFonts w:cs="仿宋_GB2312"/>
        </w:rPr>
      </w:pPr>
      <w:r>
        <w:rPr>
          <w:rFonts w:eastAsia="楷体_GB2312" w:cs="楷体_GB2312" w:hint="eastAsia"/>
        </w:rPr>
        <w:t>（六）推动互联网平台企业提升服务水平。</w:t>
      </w:r>
      <w:r>
        <w:rPr>
          <w:rFonts w:cs="仿宋_GB2312" w:hint="eastAsia"/>
        </w:rPr>
        <w:t>进一步加强与互联网平台企业沟通交流，在个体工商户经营情况分析、数据信息共享等方面加强协作，丰富数据维度，提升利用数字化手段服务个体工商户的能力水平。鼓励引导互联网平台企业在费用减免、流量扶持、技能培训等方面加大对“名特优新”等个体工商户的支持力度。</w:t>
      </w:r>
    </w:p>
    <w:p w:rsidR="00C64701" w:rsidRDefault="00000000">
      <w:pPr>
        <w:spacing w:line="594" w:lineRule="exact"/>
        <w:ind w:firstLineChars="200" w:firstLine="632"/>
        <w:rPr>
          <w:color w:val="000000"/>
        </w:rPr>
      </w:pPr>
      <w:r>
        <w:rPr>
          <w:rFonts w:eastAsia="楷体" w:cs="楷体" w:hint="eastAsia"/>
        </w:rPr>
        <w:t>（七）提升个体工商户质量管理水平。</w:t>
      </w:r>
      <w:r>
        <w:rPr>
          <w:color w:val="000000"/>
        </w:rPr>
        <w:t>联合相关部门举办</w:t>
      </w:r>
      <w:r>
        <w:rPr>
          <w:color w:val="000000"/>
        </w:rPr>
        <w:t>2024</w:t>
      </w:r>
      <w:r>
        <w:rPr>
          <w:color w:val="000000"/>
        </w:rPr>
        <w:t>年全国</w:t>
      </w:r>
      <w:r>
        <w:rPr>
          <w:rFonts w:hint="eastAsia"/>
          <w:color w:val="000000"/>
        </w:rPr>
        <w:t>“</w:t>
      </w:r>
      <w:r>
        <w:rPr>
          <w:color w:val="000000"/>
        </w:rPr>
        <w:t>质量月</w:t>
      </w:r>
      <w:r>
        <w:rPr>
          <w:rFonts w:hint="eastAsia"/>
          <w:color w:val="000000"/>
        </w:rPr>
        <w:t>”</w:t>
      </w:r>
      <w:r>
        <w:rPr>
          <w:color w:val="000000"/>
        </w:rPr>
        <w:t>活动，推动各行业广泛开展质量改进、质量创新、劳动和技能竞赛等群众性质量活动，推广科学的质量管理模式方法</w:t>
      </w:r>
      <w:r>
        <w:rPr>
          <w:rFonts w:hint="eastAsia"/>
          <w:color w:val="000000"/>
        </w:rPr>
        <w:t>，提升个体工商户等广大经营主体质量水平。</w:t>
      </w:r>
      <w:r>
        <w:rPr>
          <w:rFonts w:hint="eastAsia"/>
        </w:rPr>
        <w:t>结合质量技术帮扶“提质强企”三年行动，针对个体工商户产品质量不合格率较高、质量竞争力不强等问题，通过质量问诊、标准宣贯、质量培训、“一对一”跟进指导等方式开展质量技术帮扶，助力个体工商户健康可持续发展。</w:t>
      </w:r>
    </w:p>
    <w:p w:rsidR="00C64701" w:rsidRDefault="00000000">
      <w:pPr>
        <w:spacing w:line="594" w:lineRule="exact"/>
        <w:ind w:firstLineChars="200" w:firstLine="632"/>
        <w:rPr>
          <w:rFonts w:cs="仿宋_GB2312"/>
        </w:rPr>
      </w:pPr>
      <w:r>
        <w:rPr>
          <w:rFonts w:eastAsia="楷体" w:cs="楷体" w:hint="eastAsia"/>
        </w:rPr>
        <w:t>（八）加强电子计价秤计量监管知识的宣传普及。</w:t>
      </w:r>
      <w:r>
        <w:rPr>
          <w:rFonts w:cs="仿宋_GB2312" w:hint="eastAsia"/>
        </w:rPr>
        <w:t>向个体工商户广泛宣传电子计价秤的计量原理、检定周期、使用注意事项、计量法规政策等基本知识，组织专家对个体工商户进行电子计价秤的使用和维护培训，加大对市场内电子计价秤的监督检查力度，</w:t>
      </w:r>
      <w:r>
        <w:rPr>
          <w:rFonts w:cs="仿宋_GB2312" w:hint="eastAsia"/>
        </w:rPr>
        <w:lastRenderedPageBreak/>
        <w:t>对发现的违法违规行为进行查处，并对不合格的电子计价秤进行强制检定或淘汰。</w:t>
      </w:r>
    </w:p>
    <w:p w:rsidR="00C64701" w:rsidRDefault="00000000">
      <w:pPr>
        <w:widowControl/>
        <w:numPr>
          <w:ilvl w:val="0"/>
          <w:numId w:val="2"/>
        </w:numPr>
        <w:overflowPunct/>
        <w:topLinePunct w:val="0"/>
        <w:spacing w:line="594" w:lineRule="exact"/>
        <w:ind w:firstLineChars="200" w:firstLine="632"/>
        <w:rPr>
          <w:rFonts w:eastAsia="黑体"/>
          <w:kern w:val="0"/>
          <w:lang w:bidi="ar"/>
        </w:rPr>
      </w:pPr>
      <w:r>
        <w:rPr>
          <w:rFonts w:eastAsia="黑体" w:hint="eastAsia"/>
          <w:kern w:val="0"/>
          <w:lang w:bidi="ar"/>
        </w:rPr>
        <w:t>国家发展改革委围绕“民营经济发展综合服务平台宣介”开展活动</w:t>
      </w:r>
    </w:p>
    <w:p w:rsidR="00C64701" w:rsidRDefault="00000000">
      <w:pPr>
        <w:widowControl/>
        <w:overflowPunct/>
        <w:topLinePunct w:val="0"/>
        <w:spacing w:line="594" w:lineRule="exact"/>
        <w:rPr>
          <w:rFonts w:eastAsia="黑体"/>
          <w:kern w:val="0"/>
          <w:lang w:bidi="ar"/>
        </w:rPr>
      </w:pPr>
      <w:r>
        <w:rPr>
          <w:rFonts w:eastAsia="黑体" w:hint="eastAsia"/>
          <w:kern w:val="0"/>
          <w:lang w:bidi="ar"/>
        </w:rPr>
        <w:t xml:space="preserve">    </w:t>
      </w:r>
      <w:r>
        <w:rPr>
          <w:rFonts w:cs="仿宋_GB2312" w:hint="eastAsia"/>
          <w:kern w:val="0"/>
          <w:lang w:bidi="ar"/>
        </w:rPr>
        <w:t>充分发挥地方尤其是基层政府部门的作用，加大民营经济发展综合服务平台中惠企政策直达等模块的知晓度和惠及面，推动各项促进民营经济发展壮大的政策举措落到实处，着力提升个体工商户可持续经营能力，促进其健康发展。</w:t>
      </w:r>
    </w:p>
    <w:p w:rsidR="00C64701" w:rsidRDefault="00000000">
      <w:pPr>
        <w:widowControl/>
        <w:numPr>
          <w:ilvl w:val="0"/>
          <w:numId w:val="2"/>
        </w:numPr>
        <w:overflowPunct/>
        <w:topLinePunct w:val="0"/>
        <w:spacing w:line="594" w:lineRule="exact"/>
        <w:ind w:firstLineChars="200" w:firstLine="632"/>
        <w:rPr>
          <w:rFonts w:eastAsia="黑体"/>
          <w:kern w:val="0"/>
          <w:lang w:bidi="ar"/>
        </w:rPr>
      </w:pPr>
      <w:r>
        <w:rPr>
          <w:rFonts w:eastAsia="黑体" w:hint="eastAsia"/>
          <w:kern w:val="0"/>
          <w:lang w:bidi="ar"/>
        </w:rPr>
        <w:t>工业和信息化部围绕“‘名师优课’人才培训”开展活动</w:t>
      </w:r>
    </w:p>
    <w:p w:rsidR="00C64701" w:rsidRDefault="00000000">
      <w:pPr>
        <w:widowControl/>
        <w:overflowPunct/>
        <w:topLinePunct w:val="0"/>
        <w:spacing w:line="594" w:lineRule="exact"/>
        <w:ind w:firstLine="631"/>
        <w:rPr>
          <w:rFonts w:cs="仿宋_GB2312"/>
          <w:kern w:val="0"/>
          <w:lang w:bidi="ar"/>
        </w:rPr>
      </w:pPr>
      <w:r>
        <w:rPr>
          <w:rFonts w:cs="仿宋_GB2312" w:hint="eastAsia"/>
          <w:kern w:val="0"/>
          <w:lang w:bidi="ar"/>
        </w:rPr>
        <w:t>开展中小企业人才培训“名师优课”征集遴选活动，汇聚形成一批质量高、内容丰富的培训课程资源，公开发布，供中小企业和个体工商户等免费使用，推动提升经营主体经营管理水平。</w:t>
      </w:r>
    </w:p>
    <w:p w:rsidR="00C64701" w:rsidRDefault="00000000">
      <w:pPr>
        <w:widowControl/>
        <w:numPr>
          <w:ilvl w:val="0"/>
          <w:numId w:val="2"/>
        </w:numPr>
        <w:overflowPunct/>
        <w:topLinePunct w:val="0"/>
        <w:spacing w:line="594" w:lineRule="exact"/>
        <w:ind w:firstLineChars="200" w:firstLine="632"/>
        <w:rPr>
          <w:rFonts w:eastAsia="黑体"/>
          <w:kern w:val="0"/>
          <w:lang w:bidi="ar"/>
        </w:rPr>
      </w:pPr>
      <w:r>
        <w:rPr>
          <w:rFonts w:eastAsia="黑体" w:hint="eastAsia"/>
          <w:kern w:val="0"/>
          <w:lang w:bidi="ar"/>
        </w:rPr>
        <w:t>人力资源社会保障部围绕“就业服务助发展</w:t>
      </w:r>
      <w:r>
        <w:rPr>
          <w:rFonts w:eastAsia="黑体" w:hint="eastAsia"/>
          <w:kern w:val="0"/>
          <w:lang w:bidi="ar"/>
        </w:rPr>
        <w:t xml:space="preserve"> </w:t>
      </w:r>
      <w:r>
        <w:rPr>
          <w:rFonts w:eastAsia="黑体" w:hint="eastAsia"/>
          <w:kern w:val="0"/>
          <w:lang w:bidi="ar"/>
        </w:rPr>
        <w:t>创业扶持添动力”开展活动</w:t>
      </w:r>
    </w:p>
    <w:p w:rsidR="00C64701" w:rsidRDefault="00000000">
      <w:pPr>
        <w:spacing w:line="594" w:lineRule="exact"/>
        <w:ind w:firstLineChars="200" w:firstLine="632"/>
        <w:rPr>
          <w:rFonts w:cs="仿宋_GB2312"/>
        </w:rPr>
      </w:pPr>
      <w:r>
        <w:rPr>
          <w:rFonts w:eastAsia="楷体_GB2312" w:cs="楷体_GB2312" w:hint="eastAsia"/>
        </w:rPr>
        <w:t>（一）提供优质就业服务。</w:t>
      </w:r>
      <w:r>
        <w:rPr>
          <w:rFonts w:cs="仿宋_GB2312"/>
        </w:rPr>
        <w:t>依托全国零工市场、公共就业服务机构等服务平台，为个体工商户用工招聘提供就业服务，开展重点帮扶。在开展金秋招聘月等</w:t>
      </w:r>
      <w:r>
        <w:rPr>
          <w:rFonts w:cs="仿宋_GB2312"/>
        </w:rPr>
        <w:t>“10+N”</w:t>
      </w:r>
      <w:r>
        <w:rPr>
          <w:rFonts w:cs="仿宋_GB2312"/>
        </w:rPr>
        <w:t>公共就业服务活动时，鼓励专门设立个体工商户专场招聘，加大个体工商户的用工支持。</w:t>
      </w:r>
    </w:p>
    <w:p w:rsidR="00C64701" w:rsidRDefault="00000000">
      <w:pPr>
        <w:spacing w:line="594" w:lineRule="exact"/>
        <w:ind w:firstLineChars="200" w:firstLine="632"/>
        <w:rPr>
          <w:rFonts w:cs="仿宋_GB2312"/>
        </w:rPr>
      </w:pPr>
      <w:r>
        <w:rPr>
          <w:rFonts w:eastAsia="楷体_GB2312" w:cs="楷体_GB2312" w:hint="eastAsia"/>
        </w:rPr>
        <w:lastRenderedPageBreak/>
        <w:t>（二）加强政策落实落地。</w:t>
      </w:r>
      <w:r>
        <w:rPr>
          <w:rFonts w:cs="仿宋_GB2312"/>
        </w:rPr>
        <w:t>提升就业政策宣传实效，推广</w:t>
      </w:r>
      <w:r>
        <w:rPr>
          <w:rFonts w:cs="仿宋_GB2312"/>
        </w:rPr>
        <w:t>“</w:t>
      </w:r>
      <w:r>
        <w:rPr>
          <w:rFonts w:cs="仿宋_GB2312"/>
        </w:rPr>
        <w:t>直补快办</w:t>
      </w:r>
      <w:r>
        <w:rPr>
          <w:rFonts w:cs="仿宋_GB2312"/>
        </w:rPr>
        <w:t>”</w:t>
      </w:r>
      <w:r>
        <w:rPr>
          <w:rFonts w:cs="仿宋_GB2312"/>
        </w:rPr>
        <w:t>模式，积极为符合条件</w:t>
      </w:r>
      <w:r>
        <w:rPr>
          <w:rFonts w:cs="仿宋_GB2312" w:hint="eastAsia"/>
        </w:rPr>
        <w:t>的</w:t>
      </w:r>
      <w:r>
        <w:rPr>
          <w:rFonts w:cs="仿宋_GB2312"/>
        </w:rPr>
        <w:t>个体工商户落实一次性创业补贴、创业担保贷款、行政收费减免、税收优惠等政策。以单位形式参保的个体工商户，按规定享受稳岗返还政策，支持其稳定就业岗位。</w:t>
      </w:r>
    </w:p>
    <w:p w:rsidR="00C64701" w:rsidRDefault="00000000">
      <w:pPr>
        <w:spacing w:line="594" w:lineRule="exact"/>
        <w:ind w:firstLineChars="200" w:firstLine="632"/>
        <w:rPr>
          <w:rFonts w:cs="仿宋_GB2312"/>
        </w:rPr>
      </w:pPr>
      <w:r>
        <w:rPr>
          <w:rFonts w:eastAsia="楷体_GB2312" w:cs="楷体_GB2312" w:hint="eastAsia"/>
        </w:rPr>
        <w:t>（三）提升创业支持力度。</w:t>
      </w:r>
      <w:r>
        <w:rPr>
          <w:rFonts w:cs="仿宋_GB2312"/>
        </w:rPr>
        <w:t>扎实组织举办创业资源对接、创业创新大赛等活动，为个体工商户提供专业指导、场地支持、融资对接、人才支撑等创业服务，营造良好的创业创新氛围。</w:t>
      </w:r>
    </w:p>
    <w:p w:rsidR="00C64701" w:rsidRDefault="00000000">
      <w:pPr>
        <w:widowControl/>
        <w:numPr>
          <w:ilvl w:val="0"/>
          <w:numId w:val="2"/>
        </w:numPr>
        <w:overflowPunct/>
        <w:topLinePunct w:val="0"/>
        <w:spacing w:line="594" w:lineRule="exact"/>
        <w:ind w:firstLineChars="200" w:firstLine="632"/>
        <w:rPr>
          <w:rFonts w:eastAsia="黑体"/>
          <w:kern w:val="0"/>
          <w:lang w:bidi="ar"/>
        </w:rPr>
      </w:pPr>
      <w:r>
        <w:rPr>
          <w:rFonts w:eastAsia="黑体" w:hint="eastAsia"/>
          <w:kern w:val="0"/>
          <w:lang w:bidi="ar"/>
        </w:rPr>
        <w:t>农业农村部围绕“农创微课堂”开展活动</w:t>
      </w:r>
    </w:p>
    <w:p w:rsidR="00C64701" w:rsidRDefault="00000000">
      <w:pPr>
        <w:spacing w:line="594" w:lineRule="exact"/>
        <w:ind w:firstLineChars="200" w:firstLine="632"/>
        <w:rPr>
          <w:rFonts w:cs="仿宋_GB2312"/>
        </w:rPr>
      </w:pPr>
      <w:r>
        <w:rPr>
          <w:rFonts w:cs="仿宋_GB2312"/>
        </w:rPr>
        <w:t>围绕创业人才所需创业理论知识、创业经验模式、经营主体面临的困难和解决途径等内容，制作一批</w:t>
      </w:r>
      <w:r>
        <w:rPr>
          <w:rFonts w:cs="仿宋_GB2312" w:hint="eastAsia"/>
        </w:rPr>
        <w:t>“</w:t>
      </w:r>
      <w:r>
        <w:rPr>
          <w:rFonts w:cs="仿宋_GB2312"/>
        </w:rPr>
        <w:t>农创微课堂</w:t>
      </w:r>
      <w:r>
        <w:rPr>
          <w:rFonts w:cs="仿宋_GB2312" w:hint="eastAsia"/>
        </w:rPr>
        <w:t>”</w:t>
      </w:r>
      <w:r>
        <w:rPr>
          <w:rFonts w:cs="仿宋_GB2312"/>
        </w:rPr>
        <w:t>视频。在</w:t>
      </w:r>
      <w:r>
        <w:rPr>
          <w:rFonts w:cs="仿宋_GB2312"/>
        </w:rPr>
        <w:t>“</w:t>
      </w:r>
      <w:r>
        <w:rPr>
          <w:rFonts w:cs="仿宋_GB2312"/>
        </w:rPr>
        <w:t>云上智农</w:t>
      </w:r>
      <w:r>
        <w:rPr>
          <w:rFonts w:cs="仿宋_GB2312"/>
        </w:rPr>
        <w:t>”</w:t>
      </w:r>
      <w:r>
        <w:rPr>
          <w:rFonts w:cs="仿宋_GB2312"/>
        </w:rPr>
        <w:t>等平台进行推广，帮助更多农村创业人员拓宽知识、开阔视野、学习经验</w:t>
      </w:r>
      <w:r>
        <w:rPr>
          <w:rFonts w:cs="仿宋_GB2312" w:hint="eastAsia"/>
        </w:rPr>
        <w:t>，让返乡人员愿创业会创业，培育壮大一批农村个体工商户</w:t>
      </w:r>
      <w:r>
        <w:rPr>
          <w:rFonts w:cs="仿宋_GB2312"/>
        </w:rPr>
        <w:t>。</w:t>
      </w:r>
    </w:p>
    <w:p w:rsidR="00C64701" w:rsidRDefault="00000000">
      <w:pPr>
        <w:widowControl/>
        <w:numPr>
          <w:ilvl w:val="0"/>
          <w:numId w:val="2"/>
        </w:numPr>
        <w:overflowPunct/>
        <w:topLinePunct w:val="0"/>
        <w:spacing w:line="594" w:lineRule="exact"/>
        <w:ind w:firstLineChars="200" w:firstLine="632"/>
        <w:rPr>
          <w:rFonts w:eastAsia="黑体"/>
          <w:kern w:val="0"/>
          <w:lang w:bidi="ar"/>
        </w:rPr>
      </w:pPr>
      <w:r>
        <w:rPr>
          <w:rFonts w:eastAsia="黑体" w:hint="eastAsia"/>
          <w:kern w:val="0"/>
          <w:lang w:bidi="ar"/>
        </w:rPr>
        <w:t>商务部围绕“</w:t>
      </w:r>
      <w:r>
        <w:rPr>
          <w:rFonts w:eastAsia="黑体" w:hint="eastAsia"/>
          <w:kern w:val="0"/>
          <w:lang w:bidi="ar"/>
        </w:rPr>
        <w:t>2024</w:t>
      </w:r>
      <w:r>
        <w:rPr>
          <w:rFonts w:eastAsia="黑体" w:hint="eastAsia"/>
          <w:kern w:val="0"/>
          <w:lang w:bidi="ar"/>
        </w:rPr>
        <w:t>全国一刻钟便民生活节”开展活动</w:t>
      </w:r>
    </w:p>
    <w:p w:rsidR="00C64701" w:rsidRDefault="00000000">
      <w:pPr>
        <w:spacing w:line="594" w:lineRule="exact"/>
        <w:ind w:firstLineChars="200" w:firstLine="632"/>
        <w:rPr>
          <w:rFonts w:cs="仿宋_GB2312"/>
        </w:rPr>
      </w:pPr>
      <w:r>
        <w:rPr>
          <w:rFonts w:cs="仿宋_GB2312"/>
        </w:rPr>
        <w:t>动员城市一刻钟便民生活圈试点地区积极行动，充分利用现有促消费政策，广泛调动包括个体工商户在内</w:t>
      </w:r>
      <w:r>
        <w:rPr>
          <w:rFonts w:cs="仿宋_GB2312" w:hint="eastAsia"/>
        </w:rPr>
        <w:t>的</w:t>
      </w:r>
      <w:r>
        <w:rPr>
          <w:rFonts w:cs="仿宋_GB2312"/>
        </w:rPr>
        <w:t>各类经营主体参与，结合老字号、汽车、家电、家居、餐饮、再生资源回收等重点工作，自主确定活动主题和举办时间，因地制宜开展社区邻里节、购物节、美食节、团购节，以及老字号、汽车、家电、家居、</w:t>
      </w:r>
      <w:r>
        <w:rPr>
          <w:rFonts w:cs="仿宋_GB2312"/>
        </w:rPr>
        <w:lastRenderedPageBreak/>
        <w:t>再生资源回收进社区等形式多样的便民促消费主题活动，通过丰富供给、创新场景、提升体验，进一步便利居民生活、营造商居和谐的良好氛围</w:t>
      </w:r>
      <w:r>
        <w:rPr>
          <w:rFonts w:cs="仿宋_GB2312" w:hint="eastAsia"/>
        </w:rPr>
        <w:t>。</w:t>
      </w:r>
    </w:p>
    <w:p w:rsidR="00C64701" w:rsidRDefault="00000000">
      <w:pPr>
        <w:widowControl/>
        <w:numPr>
          <w:ilvl w:val="0"/>
          <w:numId w:val="2"/>
        </w:numPr>
        <w:overflowPunct/>
        <w:topLinePunct w:val="0"/>
        <w:spacing w:line="594" w:lineRule="exact"/>
        <w:ind w:firstLineChars="200" w:firstLine="632"/>
        <w:rPr>
          <w:rFonts w:eastAsia="黑体"/>
          <w:kern w:val="0"/>
          <w:lang w:bidi="ar"/>
        </w:rPr>
      </w:pPr>
      <w:r>
        <w:rPr>
          <w:rFonts w:eastAsia="黑体" w:hint="eastAsia"/>
          <w:kern w:val="0"/>
          <w:lang w:bidi="ar"/>
        </w:rPr>
        <w:t>文化和旅游部围绕“搭平台、送政策、提信心”开展活动</w:t>
      </w:r>
    </w:p>
    <w:p w:rsidR="00C64701" w:rsidRDefault="00000000">
      <w:pPr>
        <w:spacing w:line="594" w:lineRule="exact"/>
        <w:ind w:firstLineChars="200" w:firstLine="632"/>
        <w:rPr>
          <w:rFonts w:cs="仿宋_GB2312"/>
        </w:rPr>
      </w:pPr>
      <w:r>
        <w:rPr>
          <w:rFonts w:eastAsia="楷体_GB2312" w:cs="楷体_GB2312" w:hint="eastAsia"/>
        </w:rPr>
        <w:t>（一）搭建发展平台。</w:t>
      </w:r>
      <w:r>
        <w:rPr>
          <w:rFonts w:cs="仿宋_GB2312"/>
        </w:rPr>
        <w:t>推进实施</w:t>
      </w:r>
      <w:r>
        <w:rPr>
          <w:rFonts w:cs="仿宋_GB2312"/>
        </w:rPr>
        <w:t>“</w:t>
      </w:r>
      <w:r>
        <w:rPr>
          <w:rFonts w:cs="仿宋_GB2312"/>
        </w:rPr>
        <w:t>百城百区</w:t>
      </w:r>
      <w:r>
        <w:rPr>
          <w:rFonts w:cs="仿宋_GB2312"/>
        </w:rPr>
        <w:t>”</w:t>
      </w:r>
      <w:r>
        <w:rPr>
          <w:rFonts w:cs="仿宋_GB2312"/>
        </w:rPr>
        <w:t>文化和旅游消费行动计划，举办国庆文化和旅游消费月活动，联动文化和旅游经营主体、金融机构、电商平台、媒体等，推出内容丰富、形式多样的文化和旅游消费促进活动，创新业态场景，释放文化和旅游消费潜力，活跃文化和旅游市场，拓宽文化和旅游个体工商户发展空间。</w:t>
      </w:r>
    </w:p>
    <w:p w:rsidR="00C64701" w:rsidRDefault="00000000">
      <w:pPr>
        <w:spacing w:line="594" w:lineRule="exact"/>
        <w:ind w:firstLineChars="200" w:firstLine="632"/>
        <w:rPr>
          <w:rFonts w:cs="仿宋_GB2312"/>
        </w:rPr>
      </w:pPr>
      <w:r>
        <w:rPr>
          <w:rFonts w:eastAsia="楷体_GB2312" w:cs="楷体_GB2312" w:hint="eastAsia"/>
        </w:rPr>
        <w:t>（二）加强政策宣传。</w:t>
      </w:r>
      <w:r>
        <w:rPr>
          <w:rFonts w:cs="仿宋_GB2312"/>
        </w:rPr>
        <w:t>办好</w:t>
      </w:r>
      <w:r>
        <w:rPr>
          <w:rFonts w:cs="仿宋_GB2312" w:hint="eastAsia"/>
        </w:rPr>
        <w:t>“</w:t>
      </w:r>
      <w:r>
        <w:rPr>
          <w:rFonts w:cs="仿宋_GB2312"/>
        </w:rPr>
        <w:t>文化和旅游企业政策信息服务</w:t>
      </w:r>
      <w:r>
        <w:rPr>
          <w:rFonts w:cs="仿宋_GB2312" w:hint="eastAsia"/>
        </w:rPr>
        <w:t>”</w:t>
      </w:r>
      <w:r>
        <w:rPr>
          <w:rFonts w:cs="仿宋_GB2312"/>
        </w:rPr>
        <w:t>专栏，及时汇总发布各部门出台的可惠及文化和旅游个体工商户发展的支持政策，扩大政策知晓度和惠及面。</w:t>
      </w:r>
    </w:p>
    <w:p w:rsidR="00C64701" w:rsidRDefault="00000000">
      <w:pPr>
        <w:spacing w:line="594" w:lineRule="exact"/>
        <w:ind w:firstLineChars="200" w:firstLine="632"/>
        <w:rPr>
          <w:rFonts w:cs="仿宋_GB2312"/>
        </w:rPr>
      </w:pPr>
      <w:r>
        <w:rPr>
          <w:rFonts w:eastAsia="楷体_GB2312" w:cs="楷体_GB2312" w:hint="eastAsia"/>
        </w:rPr>
        <w:t>（三）加强调查研究。</w:t>
      </w:r>
      <w:r>
        <w:rPr>
          <w:rFonts w:cs="仿宋_GB2312"/>
        </w:rPr>
        <w:t>对文化和旅游</w:t>
      </w:r>
      <w:r>
        <w:rPr>
          <w:rFonts w:cs="仿宋_GB2312" w:hint="eastAsia"/>
        </w:rPr>
        <w:t>领域</w:t>
      </w:r>
      <w:r>
        <w:rPr>
          <w:rFonts w:cs="仿宋_GB2312"/>
        </w:rPr>
        <w:t>个体工商户发展情况开展调查，深入了解文化和旅游个体工商户发展情况、政策落实情况及存在的困难问题，推动完善支持文化和旅游个体工商户发展的政策。</w:t>
      </w:r>
    </w:p>
    <w:p w:rsidR="00C64701" w:rsidRDefault="00000000">
      <w:pPr>
        <w:widowControl/>
        <w:numPr>
          <w:ilvl w:val="0"/>
          <w:numId w:val="2"/>
        </w:numPr>
        <w:overflowPunct/>
        <w:topLinePunct w:val="0"/>
        <w:spacing w:line="594" w:lineRule="exact"/>
        <w:ind w:firstLineChars="200" w:firstLine="632"/>
        <w:rPr>
          <w:rFonts w:eastAsia="黑体"/>
          <w:kern w:val="0"/>
          <w:lang w:bidi="ar"/>
        </w:rPr>
      </w:pPr>
      <w:r>
        <w:rPr>
          <w:rFonts w:eastAsia="黑体" w:hint="eastAsia"/>
          <w:kern w:val="0"/>
          <w:lang w:bidi="ar"/>
        </w:rPr>
        <w:t>退役军人事务部围绕“推动政策落实</w:t>
      </w:r>
      <w:r>
        <w:rPr>
          <w:rFonts w:eastAsia="黑体" w:hint="eastAsia"/>
          <w:kern w:val="0"/>
          <w:lang w:bidi="ar"/>
        </w:rPr>
        <w:t xml:space="preserve"> </w:t>
      </w:r>
      <w:r>
        <w:rPr>
          <w:rFonts w:eastAsia="黑体" w:hint="eastAsia"/>
          <w:kern w:val="0"/>
          <w:lang w:bidi="ar"/>
        </w:rPr>
        <w:t>广泛开展服务”开展活动</w:t>
      </w:r>
    </w:p>
    <w:p w:rsidR="00C64701" w:rsidRDefault="00000000">
      <w:pPr>
        <w:pStyle w:val="HTML"/>
        <w:widowControl/>
        <w:shd w:val="clear" w:color="auto" w:fill="FFFFFF"/>
        <w:overflowPunct/>
        <w:topLinePunct w:val="0"/>
        <w:spacing w:after="0" w:line="594" w:lineRule="exact"/>
        <w:ind w:firstLineChars="200" w:firstLine="632"/>
        <w:jc w:val="both"/>
        <w:rPr>
          <w:rFonts w:ascii="Times New Roman" w:eastAsia="仿宋_GB2312" w:hAnsi="Times New Roman" w:cs="仿宋_GB2312" w:hint="default"/>
          <w:kern w:val="2"/>
          <w:sz w:val="32"/>
          <w:szCs w:val="32"/>
        </w:rPr>
      </w:pPr>
      <w:r>
        <w:rPr>
          <w:rFonts w:ascii="Times New Roman" w:eastAsia="楷体_GB2312" w:hAnsi="Times New Roman" w:cs="楷体_GB2312"/>
          <w:kern w:val="2"/>
          <w:sz w:val="32"/>
          <w:szCs w:val="32"/>
        </w:rPr>
        <w:lastRenderedPageBreak/>
        <w:t>（一）落实创业就业</w:t>
      </w:r>
      <w:r>
        <w:rPr>
          <w:rFonts w:ascii="Times New Roman" w:eastAsia="楷体_GB2312" w:hAnsi="Times New Roman" w:cs="楷体_GB2312" w:hint="default"/>
          <w:kern w:val="2"/>
          <w:sz w:val="32"/>
          <w:szCs w:val="32"/>
        </w:rPr>
        <w:t>税收政策</w:t>
      </w:r>
      <w:r>
        <w:rPr>
          <w:rFonts w:ascii="Times New Roman" w:eastAsia="楷体_GB2312" w:hAnsi="Times New Roman" w:cs="楷体_GB2312"/>
          <w:kern w:val="2"/>
          <w:sz w:val="32"/>
          <w:szCs w:val="32"/>
        </w:rPr>
        <w:t>。</w:t>
      </w:r>
      <w:r>
        <w:rPr>
          <w:rFonts w:ascii="Times New Roman" w:eastAsia="仿宋_GB2312" w:hAnsi="Times New Roman" w:cs="仿宋_GB2312" w:hint="default"/>
          <w:kern w:val="2"/>
          <w:sz w:val="32"/>
          <w:szCs w:val="32"/>
        </w:rPr>
        <w:t>各地退役军人事务部门</w:t>
      </w:r>
      <w:r>
        <w:rPr>
          <w:rFonts w:ascii="Times New Roman" w:eastAsia="仿宋_GB2312" w:hAnsi="Times New Roman" w:cs="仿宋_GB2312"/>
          <w:kern w:val="2"/>
          <w:sz w:val="32"/>
          <w:szCs w:val="32"/>
        </w:rPr>
        <w:t>要</w:t>
      </w:r>
      <w:r>
        <w:rPr>
          <w:rFonts w:ascii="Times New Roman" w:eastAsia="仿宋_GB2312" w:hAnsi="Times New Roman" w:cs="仿宋_GB2312" w:hint="default"/>
          <w:kern w:val="2"/>
          <w:sz w:val="32"/>
          <w:szCs w:val="32"/>
        </w:rPr>
        <w:t>以</w:t>
      </w:r>
      <w:r>
        <w:rPr>
          <w:rFonts w:ascii="Times New Roman" w:eastAsia="仿宋_GB2312" w:hAnsi="Times New Roman" w:cs="仿宋_GB2312"/>
          <w:kern w:val="2"/>
          <w:sz w:val="32"/>
          <w:szCs w:val="32"/>
        </w:rPr>
        <w:t>“服务月”活动</w:t>
      </w:r>
      <w:r>
        <w:rPr>
          <w:rFonts w:ascii="Times New Roman" w:eastAsia="仿宋_GB2312" w:hAnsi="Times New Roman" w:cs="仿宋_GB2312" w:hint="default"/>
          <w:kern w:val="2"/>
          <w:sz w:val="32"/>
          <w:szCs w:val="32"/>
        </w:rPr>
        <w:t>为契机，按照</w:t>
      </w:r>
      <w:r>
        <w:rPr>
          <w:rFonts w:ascii="Times New Roman" w:eastAsia="仿宋_GB2312" w:hAnsi="Times New Roman" w:cs="仿宋_GB2312"/>
          <w:kern w:val="2"/>
          <w:sz w:val="32"/>
          <w:szCs w:val="32"/>
        </w:rPr>
        <w:t>《</w:t>
      </w:r>
      <w:r>
        <w:rPr>
          <w:rFonts w:ascii="Times New Roman" w:eastAsia="仿宋_GB2312" w:hAnsi="Times New Roman" w:cs="仿宋_GB2312" w:hint="default"/>
          <w:kern w:val="2"/>
          <w:sz w:val="32"/>
          <w:szCs w:val="32"/>
        </w:rPr>
        <w:t>关于进一步落实退役军人创业就业税收政策</w:t>
      </w:r>
      <w:r>
        <w:rPr>
          <w:rFonts w:ascii="Times New Roman" w:eastAsia="仿宋_GB2312" w:hAnsi="Times New Roman" w:cs="仿宋_GB2312"/>
          <w:kern w:val="2"/>
          <w:sz w:val="32"/>
          <w:szCs w:val="32"/>
        </w:rPr>
        <w:t>的</w:t>
      </w:r>
      <w:r>
        <w:rPr>
          <w:rFonts w:ascii="Times New Roman" w:eastAsia="仿宋_GB2312" w:hAnsi="Times New Roman" w:cs="仿宋_GB2312" w:hint="default"/>
          <w:kern w:val="2"/>
          <w:sz w:val="32"/>
          <w:szCs w:val="32"/>
        </w:rPr>
        <w:t>通知</w:t>
      </w:r>
      <w:r>
        <w:rPr>
          <w:rFonts w:ascii="Times New Roman" w:eastAsia="仿宋_GB2312" w:hAnsi="Times New Roman" w:cs="仿宋_GB2312"/>
          <w:kern w:val="2"/>
          <w:sz w:val="32"/>
          <w:szCs w:val="32"/>
        </w:rPr>
        <w:t>》（</w:t>
      </w:r>
      <w:r>
        <w:rPr>
          <w:rFonts w:ascii="Times New Roman" w:eastAsia="仿宋_GB2312" w:hAnsi="Times New Roman" w:cs="仿宋_GB2312" w:hint="default"/>
          <w:kern w:val="2"/>
          <w:sz w:val="32"/>
          <w:szCs w:val="32"/>
        </w:rPr>
        <w:t>退役军人办</w:t>
      </w:r>
      <w:r>
        <w:rPr>
          <w:rFonts w:ascii="Times New Roman" w:eastAsia="仿宋_GB2312" w:hAnsi="Times New Roman" w:cs="仿宋_GB2312"/>
          <w:kern w:val="2"/>
          <w:sz w:val="32"/>
          <w:szCs w:val="32"/>
        </w:rPr>
        <w:t>函〔</w:t>
      </w:r>
      <w:r>
        <w:rPr>
          <w:rFonts w:ascii="Times New Roman" w:eastAsia="仿宋_GB2312" w:hAnsi="Times New Roman" w:cs="仿宋_GB2312" w:hint="default"/>
          <w:kern w:val="2"/>
          <w:sz w:val="32"/>
          <w:szCs w:val="32"/>
        </w:rPr>
        <w:t>2024</w:t>
      </w:r>
      <w:r>
        <w:rPr>
          <w:rFonts w:ascii="Times New Roman" w:eastAsia="仿宋_GB2312" w:hAnsi="Times New Roman" w:cs="仿宋_GB2312"/>
          <w:kern w:val="2"/>
          <w:sz w:val="32"/>
          <w:szCs w:val="32"/>
        </w:rPr>
        <w:t>〕</w:t>
      </w:r>
      <w:r>
        <w:rPr>
          <w:rFonts w:ascii="Times New Roman" w:eastAsia="仿宋_GB2312" w:hAnsi="Times New Roman" w:cs="仿宋_GB2312" w:hint="default"/>
          <w:kern w:val="2"/>
          <w:sz w:val="32"/>
          <w:szCs w:val="32"/>
        </w:rPr>
        <w:t>84</w:t>
      </w:r>
      <w:r>
        <w:rPr>
          <w:rFonts w:ascii="Times New Roman" w:eastAsia="仿宋_GB2312" w:hAnsi="Times New Roman" w:cs="仿宋_GB2312" w:hint="default"/>
          <w:kern w:val="2"/>
          <w:sz w:val="32"/>
          <w:szCs w:val="32"/>
        </w:rPr>
        <w:t>号</w:t>
      </w:r>
      <w:r>
        <w:rPr>
          <w:rFonts w:ascii="Times New Roman" w:eastAsia="仿宋_GB2312" w:hAnsi="Times New Roman" w:cs="仿宋_GB2312"/>
          <w:kern w:val="2"/>
          <w:sz w:val="32"/>
          <w:szCs w:val="32"/>
        </w:rPr>
        <w:t>）有关</w:t>
      </w:r>
      <w:r>
        <w:rPr>
          <w:rFonts w:ascii="Times New Roman" w:eastAsia="仿宋_GB2312" w:hAnsi="Times New Roman" w:cs="仿宋_GB2312" w:hint="default"/>
          <w:kern w:val="2"/>
          <w:sz w:val="32"/>
          <w:szCs w:val="32"/>
        </w:rPr>
        <w:t>要求，加强部门协作，完善数据共享机制</w:t>
      </w:r>
      <w:r>
        <w:rPr>
          <w:rFonts w:ascii="Times New Roman" w:eastAsia="仿宋_GB2312" w:hAnsi="Times New Roman" w:cs="仿宋_GB2312"/>
          <w:kern w:val="2"/>
          <w:sz w:val="32"/>
          <w:szCs w:val="32"/>
        </w:rPr>
        <w:t>、</w:t>
      </w:r>
      <w:r>
        <w:rPr>
          <w:rFonts w:ascii="Times New Roman" w:eastAsia="仿宋_GB2312" w:hAnsi="Times New Roman" w:cs="仿宋_GB2312" w:hint="default"/>
          <w:kern w:val="2"/>
          <w:sz w:val="32"/>
          <w:szCs w:val="32"/>
        </w:rPr>
        <w:t>加强税费政策解读运用</w:t>
      </w:r>
      <w:r>
        <w:rPr>
          <w:rFonts w:ascii="Times New Roman" w:eastAsia="仿宋_GB2312" w:hAnsi="Times New Roman" w:cs="仿宋_GB2312"/>
          <w:kern w:val="2"/>
          <w:sz w:val="32"/>
          <w:szCs w:val="32"/>
        </w:rPr>
        <w:t>、</w:t>
      </w:r>
      <w:r>
        <w:rPr>
          <w:rFonts w:ascii="Times New Roman" w:eastAsia="仿宋_GB2312" w:hAnsi="Times New Roman" w:cs="仿宋_GB2312" w:hint="default"/>
          <w:kern w:val="2"/>
          <w:sz w:val="32"/>
          <w:szCs w:val="32"/>
        </w:rPr>
        <w:t>畅通问题反馈渠道，进一步扩大税收优惠政策知晓度和</w:t>
      </w:r>
      <w:r>
        <w:rPr>
          <w:rFonts w:ascii="Times New Roman" w:eastAsia="仿宋_GB2312" w:hAnsi="Times New Roman" w:cs="仿宋_GB2312"/>
          <w:kern w:val="2"/>
          <w:sz w:val="32"/>
          <w:szCs w:val="32"/>
        </w:rPr>
        <w:t>兑现</w:t>
      </w:r>
      <w:r>
        <w:rPr>
          <w:rFonts w:ascii="Times New Roman" w:eastAsia="仿宋_GB2312" w:hAnsi="Times New Roman" w:cs="仿宋_GB2312" w:hint="default"/>
          <w:kern w:val="2"/>
          <w:sz w:val="32"/>
          <w:szCs w:val="32"/>
        </w:rPr>
        <w:t>面</w:t>
      </w:r>
      <w:r>
        <w:rPr>
          <w:rFonts w:ascii="Times New Roman" w:eastAsia="仿宋_GB2312" w:hAnsi="Times New Roman" w:cs="仿宋_GB2312"/>
          <w:kern w:val="2"/>
          <w:sz w:val="32"/>
          <w:szCs w:val="32"/>
        </w:rPr>
        <w:t>。</w:t>
      </w:r>
    </w:p>
    <w:p w:rsidR="00C64701" w:rsidRDefault="00000000">
      <w:pPr>
        <w:spacing w:line="594" w:lineRule="exact"/>
        <w:ind w:firstLineChars="200" w:firstLine="632"/>
        <w:rPr>
          <w:rFonts w:cs="仿宋_GB2312"/>
        </w:rPr>
      </w:pPr>
      <w:r>
        <w:rPr>
          <w:rFonts w:eastAsia="楷体_GB2312" w:cs="楷体_GB2312" w:hint="eastAsia"/>
        </w:rPr>
        <w:t>（二）</w:t>
      </w:r>
      <w:r>
        <w:rPr>
          <w:rFonts w:eastAsia="楷体_GB2312" w:cs="楷体_GB2312"/>
        </w:rPr>
        <w:t>开展退役军人个体工商户分型分类工作</w:t>
      </w:r>
      <w:r>
        <w:rPr>
          <w:rFonts w:eastAsia="楷体_GB2312" w:cs="楷体_GB2312" w:hint="eastAsia"/>
        </w:rPr>
        <w:t>。</w:t>
      </w:r>
      <w:r>
        <w:rPr>
          <w:rFonts w:cs="仿宋_GB2312"/>
        </w:rPr>
        <w:t>各地退役军人事务部门</w:t>
      </w:r>
      <w:r>
        <w:rPr>
          <w:rFonts w:cs="仿宋_GB2312" w:hint="eastAsia"/>
        </w:rPr>
        <w:t>要认真</w:t>
      </w:r>
      <w:r>
        <w:rPr>
          <w:rFonts w:cs="仿宋_GB2312"/>
        </w:rPr>
        <w:t>落实《关于开展个体工商户分型分类精准帮扶提升发展质量的指导意见》（国市监注〔</w:t>
      </w:r>
      <w:r>
        <w:rPr>
          <w:rFonts w:cs="仿宋_GB2312"/>
        </w:rPr>
        <w:t>2024</w:t>
      </w:r>
      <w:r>
        <w:rPr>
          <w:rFonts w:cs="仿宋_GB2312"/>
        </w:rPr>
        <w:t>〕</w:t>
      </w:r>
      <w:r>
        <w:rPr>
          <w:rFonts w:cs="仿宋_GB2312"/>
        </w:rPr>
        <w:t>10</w:t>
      </w:r>
      <w:r>
        <w:rPr>
          <w:rFonts w:cs="仿宋_GB2312"/>
        </w:rPr>
        <w:t>号）有关规定，积极配合市场监管部门，共同开展退役军人个体工商户分型分类工作。积极协调各部门资源，充分发挥创业导师团队、行业协会商会等社会力量作用，针对生存</w:t>
      </w:r>
      <w:r>
        <w:rPr>
          <w:rFonts w:cs="仿宋_GB2312" w:hint="eastAsia"/>
        </w:rPr>
        <w:t>型</w:t>
      </w:r>
      <w:r>
        <w:rPr>
          <w:rFonts w:cs="仿宋_GB2312"/>
        </w:rPr>
        <w:t>、成长</w:t>
      </w:r>
      <w:r>
        <w:rPr>
          <w:rFonts w:cs="仿宋_GB2312" w:hint="eastAsia"/>
        </w:rPr>
        <w:t>型</w:t>
      </w:r>
      <w:r>
        <w:rPr>
          <w:rFonts w:cs="仿宋_GB2312"/>
        </w:rPr>
        <w:t>、发展</w:t>
      </w:r>
      <w:r>
        <w:rPr>
          <w:rFonts w:cs="仿宋_GB2312" w:hint="eastAsia"/>
        </w:rPr>
        <w:t>型等</w:t>
      </w:r>
      <w:r>
        <w:rPr>
          <w:rFonts w:cs="仿宋_GB2312"/>
        </w:rPr>
        <w:t>不同类型的退役军人个体工商户，精准开展帮扶；对认定为</w:t>
      </w:r>
      <w:r>
        <w:rPr>
          <w:rFonts w:cs="仿宋_GB2312" w:hint="eastAsia"/>
        </w:rPr>
        <w:t>“</w:t>
      </w:r>
      <w:r>
        <w:rPr>
          <w:rFonts w:cs="仿宋_GB2312"/>
        </w:rPr>
        <w:t>名特优新</w:t>
      </w:r>
      <w:r>
        <w:rPr>
          <w:rFonts w:cs="仿宋_GB2312" w:hint="eastAsia"/>
        </w:rPr>
        <w:t>”</w:t>
      </w:r>
      <w:r>
        <w:rPr>
          <w:rFonts w:cs="仿宋_GB2312"/>
        </w:rPr>
        <w:t>的退役军人个体工商户，在金融信贷、市场推广、展销对接、转型升级等方面提供有效服务，助力退役军人个体工商户发展壮大。</w:t>
      </w:r>
    </w:p>
    <w:p w:rsidR="00C64701" w:rsidRDefault="00000000">
      <w:pPr>
        <w:widowControl/>
        <w:numPr>
          <w:ilvl w:val="0"/>
          <w:numId w:val="2"/>
        </w:numPr>
        <w:overflowPunct/>
        <w:topLinePunct w:val="0"/>
        <w:spacing w:line="594" w:lineRule="exact"/>
        <w:ind w:firstLineChars="200" w:firstLine="632"/>
        <w:rPr>
          <w:rFonts w:eastAsia="黑体"/>
          <w:kern w:val="0"/>
          <w:lang w:bidi="ar"/>
        </w:rPr>
      </w:pPr>
      <w:r>
        <w:rPr>
          <w:rFonts w:eastAsia="黑体" w:hint="eastAsia"/>
          <w:kern w:val="0"/>
          <w:lang w:bidi="ar"/>
        </w:rPr>
        <w:t>中国人民银行围绕“强对接</w:t>
      </w:r>
      <w:r>
        <w:rPr>
          <w:rFonts w:eastAsia="黑体" w:hint="eastAsia"/>
          <w:kern w:val="0"/>
          <w:lang w:bidi="ar"/>
        </w:rPr>
        <w:t xml:space="preserve"> </w:t>
      </w:r>
      <w:r>
        <w:rPr>
          <w:rFonts w:eastAsia="黑体" w:hint="eastAsia"/>
          <w:kern w:val="0"/>
          <w:lang w:bidi="ar"/>
        </w:rPr>
        <w:t>惠商户</w:t>
      </w:r>
      <w:r>
        <w:rPr>
          <w:rFonts w:eastAsia="黑体" w:hint="eastAsia"/>
          <w:kern w:val="0"/>
          <w:lang w:bidi="ar"/>
        </w:rPr>
        <w:t xml:space="preserve"> </w:t>
      </w:r>
      <w:r>
        <w:rPr>
          <w:rFonts w:eastAsia="黑体" w:hint="eastAsia"/>
          <w:kern w:val="0"/>
          <w:lang w:bidi="ar"/>
        </w:rPr>
        <w:t>促发展”开展活动</w:t>
      </w:r>
    </w:p>
    <w:p w:rsidR="00C64701" w:rsidRDefault="00000000">
      <w:pPr>
        <w:pStyle w:val="a0"/>
        <w:spacing w:after="0" w:line="594" w:lineRule="exact"/>
        <w:ind w:firstLineChars="200" w:firstLine="632"/>
      </w:pPr>
      <w:r>
        <w:rPr>
          <w:rFonts w:eastAsia="楷体_GB2312" w:cs="楷体_GB2312" w:hint="eastAsia"/>
        </w:rPr>
        <w:t>（一）优化支持政策安排。</w:t>
      </w:r>
      <w:r>
        <w:rPr>
          <w:rFonts w:hint="eastAsia"/>
        </w:rPr>
        <w:t>引导金融机构单列信贷计划、下放审批权限、简化业务流程，扩大对个体工商户的贷款投放。完善内部考核激励机制和尽职免责制度，激发扩展个体工商户业务的主动性。鼓励产品创新，推广随借随还类贷款产品，加大首贷、信用贷、无还本续贷支持力度，丰富个体工商户金融产品体系。</w:t>
      </w:r>
      <w:r>
        <w:rPr>
          <w:rFonts w:hint="eastAsia"/>
        </w:rPr>
        <w:lastRenderedPageBreak/>
        <w:t>认真落实好创业担保贷款政策，加大对个体工商户在就业创业方面的支持力度。</w:t>
      </w:r>
    </w:p>
    <w:p w:rsidR="00C64701" w:rsidRDefault="00000000">
      <w:pPr>
        <w:pStyle w:val="a0"/>
        <w:spacing w:after="0" w:line="594" w:lineRule="exact"/>
        <w:ind w:firstLineChars="200" w:firstLine="632"/>
      </w:pPr>
      <w:r>
        <w:rPr>
          <w:rFonts w:eastAsia="楷体_GB2312" w:cs="楷体_GB2312" w:hint="eastAsia"/>
        </w:rPr>
        <w:t>（二）强化银企对接力度。</w:t>
      </w:r>
      <w:r>
        <w:rPr>
          <w:rFonts w:hint="eastAsia"/>
        </w:rPr>
        <w:t>鼓励银行业金融机构与行业主管部门、行业协会等建立常态化沟通联络机制，深入走访、实地调研、逐户对接，针对性为个体工商户制定融资方案。提高银企对接活动举办频次，围绕个体工商户融资急难愁盼问题，面对面交流、点对点沟通，满足其合理资金需求。鼓励搭建线上融资对接平台，对个体工商户发布的融资需求，精准匹配合适的金融产品，提升金融服务精准度和便利度。</w:t>
      </w:r>
    </w:p>
    <w:p w:rsidR="00C64701" w:rsidRDefault="00000000">
      <w:pPr>
        <w:pStyle w:val="a0"/>
        <w:spacing w:after="0" w:line="594" w:lineRule="exact"/>
        <w:ind w:firstLineChars="200" w:firstLine="632"/>
      </w:pPr>
      <w:r>
        <w:rPr>
          <w:rFonts w:eastAsia="楷体_GB2312" w:cs="楷体_GB2312" w:hint="eastAsia"/>
        </w:rPr>
        <w:t>（三）做好支付结算服务。</w:t>
      </w:r>
      <w:r>
        <w:rPr>
          <w:rFonts w:hint="eastAsia"/>
        </w:rPr>
        <w:t>指导银行业金融机构推行简易开户、账户分类分级管理，做到账户开立既便利又安全。指导银行机构、支付机构和清算机构降低个体工商户银行卡刷卡、支付账户服务费等支付手续费成本，助力个体工商户纾困解难。</w:t>
      </w:r>
    </w:p>
    <w:p w:rsidR="00C64701" w:rsidRDefault="00000000">
      <w:pPr>
        <w:spacing w:line="594" w:lineRule="exact"/>
        <w:ind w:firstLineChars="200" w:firstLine="632"/>
      </w:pPr>
      <w:r>
        <w:rPr>
          <w:rFonts w:eastAsia="楷体_GB2312" w:cs="楷体_GB2312" w:hint="eastAsia"/>
        </w:rPr>
        <w:t>（四）做好金融政策宣传。</w:t>
      </w:r>
      <w:r>
        <w:rPr>
          <w:rFonts w:hint="eastAsia"/>
        </w:rPr>
        <w:t>鼓励银行业金融机构积极利用新闻媒介、营业网点等线上线下途径，宣传普及个体工商户专项信贷产品和申请流程，让更多个体工商户对金融支持政策“应知尽知”、“应享尽享”。鼓励通过制作宣传折页、“一图读懂”等形式，编制个体工商户金融服务手册，深入商圈、走进社区，积极向个体工商户发放手册，营造良好宣传氛围。</w:t>
      </w:r>
    </w:p>
    <w:p w:rsidR="00C64701" w:rsidRDefault="00000000">
      <w:pPr>
        <w:widowControl/>
        <w:numPr>
          <w:ilvl w:val="0"/>
          <w:numId w:val="2"/>
        </w:numPr>
        <w:overflowPunct/>
        <w:topLinePunct w:val="0"/>
        <w:spacing w:line="594" w:lineRule="exact"/>
        <w:ind w:firstLineChars="200" w:firstLine="632"/>
        <w:rPr>
          <w:rFonts w:eastAsia="黑体"/>
          <w:kern w:val="0"/>
          <w:lang w:bidi="ar"/>
        </w:rPr>
      </w:pPr>
      <w:r>
        <w:rPr>
          <w:rFonts w:eastAsia="黑体" w:hint="eastAsia"/>
          <w:kern w:val="0"/>
          <w:lang w:bidi="ar"/>
        </w:rPr>
        <w:t>税务总局围绕“优化税费服务</w:t>
      </w:r>
      <w:r>
        <w:rPr>
          <w:rFonts w:eastAsia="黑体" w:hint="eastAsia"/>
          <w:kern w:val="0"/>
          <w:lang w:bidi="ar"/>
        </w:rPr>
        <w:t xml:space="preserve"> </w:t>
      </w:r>
      <w:r>
        <w:rPr>
          <w:rFonts w:eastAsia="黑体" w:hint="eastAsia"/>
          <w:kern w:val="0"/>
          <w:lang w:bidi="ar"/>
        </w:rPr>
        <w:t>享受政策红利”开展活动</w:t>
      </w:r>
    </w:p>
    <w:p w:rsidR="00C64701" w:rsidRDefault="00000000">
      <w:pPr>
        <w:spacing w:line="594" w:lineRule="exact"/>
        <w:ind w:firstLineChars="200" w:firstLine="632"/>
        <w:rPr>
          <w:rFonts w:cs="仿宋_GB2312"/>
        </w:rPr>
      </w:pPr>
      <w:r>
        <w:rPr>
          <w:rFonts w:eastAsia="楷体_GB2312" w:cs="楷体_GB2312" w:hint="eastAsia"/>
        </w:rPr>
        <w:lastRenderedPageBreak/>
        <w:t>（一）精准精细宣传辅导。</w:t>
      </w:r>
      <w:r>
        <w:rPr>
          <w:rFonts w:cs="仿宋_GB2312"/>
        </w:rPr>
        <w:t>持续推进税费优惠政策精准推送，创新宣传辅导形式，以线上培训、专题宣讲、</w:t>
      </w:r>
      <w:r>
        <w:rPr>
          <w:rFonts w:cs="仿宋_GB2312" w:hint="eastAsia"/>
        </w:rPr>
        <w:t>“</w:t>
      </w:r>
      <w:r>
        <w:rPr>
          <w:rFonts w:cs="仿宋_GB2312"/>
        </w:rPr>
        <w:t>点对点</w:t>
      </w:r>
      <w:r>
        <w:rPr>
          <w:rFonts w:cs="仿宋_GB2312" w:hint="eastAsia"/>
        </w:rPr>
        <w:t>”</w:t>
      </w:r>
      <w:r>
        <w:rPr>
          <w:rFonts w:cs="仿宋_GB2312"/>
        </w:rPr>
        <w:t>辅导等方式开展税费政策培训辅导，主动深入个体工商户聚集区送政策、讲政策，帮助个体工商户了解掌握优惠政策内容，熟悉税费业务办理流程，助其得享税惠红利。</w:t>
      </w:r>
    </w:p>
    <w:p w:rsidR="00C64701" w:rsidRDefault="00000000">
      <w:pPr>
        <w:spacing w:line="594" w:lineRule="exact"/>
        <w:ind w:firstLineChars="200" w:firstLine="632"/>
        <w:rPr>
          <w:rFonts w:cs="仿宋_GB2312"/>
        </w:rPr>
      </w:pPr>
      <w:r>
        <w:rPr>
          <w:rFonts w:eastAsia="楷体_GB2312" w:cs="楷体_GB2312" w:hint="eastAsia"/>
        </w:rPr>
        <w:t>（二）提速提效诉求响应。</w:t>
      </w:r>
      <w:r>
        <w:rPr>
          <w:rFonts w:cs="仿宋_GB2312"/>
        </w:rPr>
        <w:t>充分发挥各级各类诉求响应机制作用，通过</w:t>
      </w:r>
      <w:r>
        <w:rPr>
          <w:rFonts w:cs="仿宋_GB2312"/>
        </w:rPr>
        <w:t>12366</w:t>
      </w:r>
      <w:r>
        <w:rPr>
          <w:rFonts w:cs="仿宋_GB2312"/>
        </w:rPr>
        <w:t>纳税缴费服务热线、征纳互动服务等渠道，广泛收集并及时响应个体工商户办税缴费诉求。积极邀请个体工商户代表加入</w:t>
      </w:r>
      <w:r>
        <w:rPr>
          <w:rFonts w:cs="仿宋_GB2312" w:hint="eastAsia"/>
        </w:rPr>
        <w:t>“</w:t>
      </w:r>
      <w:r>
        <w:rPr>
          <w:rFonts w:cs="仿宋_GB2312"/>
        </w:rPr>
        <w:t>税费服务体验师</w:t>
      </w:r>
      <w:r>
        <w:rPr>
          <w:rFonts w:cs="仿宋_GB2312" w:hint="eastAsia"/>
        </w:rPr>
        <w:t>”</w:t>
      </w:r>
      <w:r>
        <w:rPr>
          <w:rFonts w:cs="仿宋_GB2312"/>
        </w:rPr>
        <w:t>队伍，着力推动征纳双方互动交流，广泛开展流程体验和意见建议收集活动，进一步提升为个体工商户纾困解难服务质效。</w:t>
      </w:r>
    </w:p>
    <w:p w:rsidR="00C64701" w:rsidRDefault="00000000">
      <w:pPr>
        <w:spacing w:line="594" w:lineRule="exact"/>
        <w:ind w:firstLineChars="200" w:firstLine="632"/>
        <w:rPr>
          <w:rFonts w:cs="仿宋_GB2312"/>
        </w:rPr>
      </w:pPr>
      <w:r>
        <w:rPr>
          <w:rFonts w:eastAsia="楷体_GB2312" w:cs="楷体_GB2312" w:hint="eastAsia"/>
        </w:rPr>
        <w:t>（三）聚心聚力助推发展。</w:t>
      </w:r>
      <w:r>
        <w:rPr>
          <w:rFonts w:cs="仿宋_GB2312"/>
        </w:rPr>
        <w:t>主动配合市场监管等部门，加强个体工商户管理信息交流，为申请转变为企业组织形式且符合法定条件的个体工商户，提供税费咨询、业务辅导、风险提示、跟踪响应等便利化服务举措，助力个体工商户升级转型、稳健发展。</w:t>
      </w:r>
    </w:p>
    <w:p w:rsidR="00C64701" w:rsidRDefault="00000000">
      <w:pPr>
        <w:widowControl/>
        <w:numPr>
          <w:ilvl w:val="0"/>
          <w:numId w:val="2"/>
        </w:numPr>
        <w:overflowPunct/>
        <w:topLinePunct w:val="0"/>
        <w:spacing w:line="594" w:lineRule="exact"/>
        <w:ind w:firstLineChars="200" w:firstLine="632"/>
        <w:rPr>
          <w:rFonts w:eastAsia="黑体"/>
          <w:kern w:val="0"/>
          <w:lang w:bidi="ar"/>
        </w:rPr>
      </w:pPr>
      <w:r>
        <w:rPr>
          <w:rFonts w:eastAsia="黑体" w:hint="eastAsia"/>
          <w:kern w:val="0"/>
          <w:lang w:bidi="ar"/>
        </w:rPr>
        <w:t>金融监管总局围绕“</w:t>
      </w:r>
      <w:r>
        <w:rPr>
          <w:rFonts w:eastAsia="黑体"/>
        </w:rPr>
        <w:t>提升金融支持个体工商户服务质效</w:t>
      </w:r>
      <w:r>
        <w:rPr>
          <w:rFonts w:eastAsia="黑体" w:hint="eastAsia"/>
          <w:kern w:val="0"/>
          <w:lang w:bidi="ar"/>
        </w:rPr>
        <w:t>”开展活动</w:t>
      </w:r>
    </w:p>
    <w:p w:rsidR="00C64701" w:rsidRDefault="00000000">
      <w:pPr>
        <w:widowControl/>
        <w:overflowPunct/>
        <w:topLinePunct w:val="0"/>
        <w:spacing w:line="594" w:lineRule="exact"/>
        <w:ind w:firstLineChars="200" w:firstLine="632"/>
        <w:rPr>
          <w:rFonts w:cs="仿宋_GB2312"/>
        </w:rPr>
      </w:pPr>
      <w:r>
        <w:rPr>
          <w:rFonts w:eastAsia="楷体_GB2312" w:cs="楷体_GB2312"/>
        </w:rPr>
        <w:t>（一）加大融资对接力度。</w:t>
      </w:r>
      <w:r>
        <w:rPr>
          <w:rFonts w:cs="仿宋_GB2312"/>
        </w:rPr>
        <w:t>引导金融机构加大调研走访力度，走商圈、走园区、走社区，依托行业协会、服务中心、线上平台等渠道，主动了解个体工商户金融服务需求，按照市场化原则提</w:t>
      </w:r>
      <w:r>
        <w:rPr>
          <w:rFonts w:cs="仿宋_GB2312"/>
        </w:rPr>
        <w:lastRenderedPageBreak/>
        <w:t>供精细化服务。支持金融机构与市场监管部门合作，用好个体工商户分型分类结果，强化对</w:t>
      </w:r>
      <w:r>
        <w:rPr>
          <w:rFonts w:cs="仿宋_GB2312"/>
        </w:rPr>
        <w:t>“</w:t>
      </w:r>
      <w:r>
        <w:rPr>
          <w:rFonts w:cs="仿宋_GB2312"/>
        </w:rPr>
        <w:t>名特优新</w:t>
      </w:r>
      <w:r>
        <w:rPr>
          <w:rFonts w:cs="仿宋_GB2312"/>
        </w:rPr>
        <w:t>”</w:t>
      </w:r>
      <w:r>
        <w:rPr>
          <w:rFonts w:cs="仿宋_GB2312"/>
        </w:rPr>
        <w:t>个体工商户的金融支持。</w:t>
      </w:r>
    </w:p>
    <w:p w:rsidR="00C64701" w:rsidRDefault="00000000">
      <w:pPr>
        <w:widowControl/>
        <w:overflowPunct/>
        <w:topLinePunct w:val="0"/>
        <w:spacing w:line="594" w:lineRule="exact"/>
        <w:ind w:firstLineChars="200" w:firstLine="632"/>
        <w:rPr>
          <w:rFonts w:cs="仿宋_GB2312"/>
        </w:rPr>
      </w:pPr>
      <w:r>
        <w:rPr>
          <w:rFonts w:eastAsia="楷体_GB2312" w:cs="楷体_GB2312"/>
        </w:rPr>
        <w:t>（二）积极开发金融产品。</w:t>
      </w:r>
      <w:r>
        <w:rPr>
          <w:rFonts w:cs="仿宋_GB2312"/>
        </w:rPr>
        <w:t>引导金融机构主动为个体工商户提供多元化、价格适宜、条款易懂的金融产品。鼓励构建</w:t>
      </w:r>
      <w:r>
        <w:rPr>
          <w:rFonts w:cs="仿宋_GB2312"/>
        </w:rPr>
        <w:t>“</w:t>
      </w:r>
      <w:r>
        <w:rPr>
          <w:rFonts w:cs="仿宋_GB2312"/>
        </w:rPr>
        <w:t>信贷</w:t>
      </w:r>
      <w:r>
        <w:rPr>
          <w:rFonts w:cs="仿宋_GB2312"/>
        </w:rPr>
        <w:t>+”</w:t>
      </w:r>
      <w:r>
        <w:rPr>
          <w:rFonts w:cs="仿宋_GB2312"/>
        </w:rPr>
        <w:t>服务模式，结合个体工商户需要，提供综合金融服务。引导金融机构根据批发零售、住宿餐饮、文化旅游、交通物流等行业个体工商户特点，强化对经营流水、交易数据的分析运用，积极开发小额信用贷款产品</w:t>
      </w:r>
      <w:r>
        <w:rPr>
          <w:rFonts w:cs="仿宋_GB2312"/>
        </w:rPr>
        <w:t>,</w:t>
      </w:r>
      <w:r>
        <w:rPr>
          <w:rFonts w:cs="仿宋_GB2312"/>
        </w:rPr>
        <w:t>推广随借随还的循环贷模式。</w:t>
      </w:r>
    </w:p>
    <w:p w:rsidR="00C64701" w:rsidRDefault="00000000">
      <w:pPr>
        <w:widowControl/>
        <w:overflowPunct/>
        <w:topLinePunct w:val="0"/>
        <w:spacing w:line="594" w:lineRule="exact"/>
        <w:ind w:firstLineChars="200" w:firstLine="632"/>
        <w:rPr>
          <w:rFonts w:cs="仿宋_GB2312"/>
        </w:rPr>
      </w:pPr>
      <w:r>
        <w:rPr>
          <w:rFonts w:eastAsia="楷体_GB2312" w:cs="楷体_GB2312"/>
        </w:rPr>
        <w:t>（三）做好金融政策和金融知识宣传。</w:t>
      </w:r>
      <w:r>
        <w:rPr>
          <w:rFonts w:cs="仿宋_GB2312"/>
        </w:rPr>
        <w:t>组织金融机构面向个体工商户开展金融知识普及，加强防范非法金融活动和电信网络诈骗宣传。鼓励金融机构及时面向个体工商户针对性宣传金融产品，畅通正规金融服务渠道，帮助个体工商户选择适合自身需求的金融产品和服务。</w:t>
      </w:r>
    </w:p>
    <w:p w:rsidR="00C64701" w:rsidRDefault="00000000">
      <w:pPr>
        <w:widowControl/>
        <w:overflowPunct/>
        <w:topLinePunct w:val="0"/>
        <w:spacing w:line="594" w:lineRule="exact"/>
        <w:ind w:firstLineChars="200" w:firstLine="632"/>
        <w:rPr>
          <w:rFonts w:cs="仿宋_GB2312"/>
        </w:rPr>
      </w:pPr>
      <w:r>
        <w:rPr>
          <w:rFonts w:eastAsia="楷体_GB2312" w:cs="楷体_GB2312"/>
        </w:rPr>
        <w:t>（四）深化信息共享。</w:t>
      </w:r>
      <w:r>
        <w:rPr>
          <w:rFonts w:cs="仿宋_GB2312"/>
        </w:rPr>
        <w:t>支持银行业金融机构积极参与信用信息共享平台建设和运用，联动市场监管局等部门加强个体工商户信用信息归集共享，为个体工商户精准画像，提高风险识别管控能力，提升信贷产品匹配性。</w:t>
      </w:r>
    </w:p>
    <w:p w:rsidR="00C64701" w:rsidRDefault="00000000">
      <w:pPr>
        <w:widowControl/>
        <w:numPr>
          <w:ilvl w:val="0"/>
          <w:numId w:val="2"/>
        </w:numPr>
        <w:overflowPunct/>
        <w:topLinePunct w:val="0"/>
        <w:spacing w:line="594" w:lineRule="exact"/>
        <w:ind w:firstLineChars="200" w:firstLine="632"/>
        <w:rPr>
          <w:rFonts w:eastAsia="黑体"/>
          <w:kern w:val="0"/>
          <w:lang w:bidi="ar"/>
        </w:rPr>
      </w:pPr>
      <w:r>
        <w:rPr>
          <w:rFonts w:eastAsia="黑体" w:hint="eastAsia"/>
          <w:kern w:val="0"/>
          <w:lang w:bidi="ar"/>
        </w:rPr>
        <w:t>中国个体劳动者协会围绕“畅渠道、优服务、提质量”开展活动</w:t>
      </w:r>
    </w:p>
    <w:p w:rsidR="00C64701" w:rsidRDefault="00000000">
      <w:pPr>
        <w:overflowPunct/>
        <w:topLinePunct w:val="0"/>
        <w:spacing w:line="600" w:lineRule="exact"/>
        <w:ind w:firstLineChars="200" w:firstLine="632"/>
        <w:rPr>
          <w:rFonts w:eastAsia="方正小标宋_GBK" w:cs="方正小标宋_GBK"/>
          <w:sz w:val="44"/>
          <w:szCs w:val="44"/>
        </w:rPr>
      </w:pPr>
      <w:r>
        <w:rPr>
          <w:rFonts w:eastAsia="楷体_GB2312" w:cs="楷体_GB2312" w:hint="eastAsia"/>
        </w:rPr>
        <w:t>（一）纵深推进“问情服务”活动。</w:t>
      </w:r>
      <w:r>
        <w:rPr>
          <w:rFonts w:cs="仿宋_GB2312" w:hint="eastAsia"/>
        </w:rPr>
        <w:t>中国个协组织全国各级</w:t>
      </w:r>
      <w:r>
        <w:rPr>
          <w:rFonts w:cs="仿宋_GB2312" w:hint="eastAsia"/>
        </w:rPr>
        <w:lastRenderedPageBreak/>
        <w:t>个私协会纵深推进“问情服务”活动，搭建政企高效沟通平台，倾听个体工商户“卡、痛、难、堵”点问题，形成个体工商户反映问题困难清单；积极开展数字化帮扶中小商户提质增效活动、金融支持中小商户发展活动、招聘用工对接服务等针对性服务工作。</w:t>
      </w:r>
    </w:p>
    <w:p w:rsidR="00C64701" w:rsidRDefault="00000000">
      <w:pPr>
        <w:spacing w:line="594" w:lineRule="exact"/>
        <w:ind w:firstLineChars="200" w:firstLine="632"/>
        <w:rPr>
          <w:rFonts w:cs="仿宋_GB2312"/>
        </w:rPr>
      </w:pPr>
      <w:r>
        <w:rPr>
          <w:rFonts w:eastAsia="楷体_GB2312" w:cs="楷体_GB2312" w:hint="eastAsia"/>
        </w:rPr>
        <w:t>（二）开展个体工商户分型分类评测。</w:t>
      </w:r>
      <w:r>
        <w:rPr>
          <w:rFonts w:cs="仿宋_GB2312" w:hint="eastAsia"/>
        </w:rPr>
        <w:t>通过调查，了解个体工商户对分型分类的满意程度、享受帮扶政策等方面情况，征求对分型分类培育意见建议，为政府提高政策的精准性和各类帮扶资源的有效性提供服务。</w:t>
      </w:r>
    </w:p>
    <w:p w:rsidR="00C64701" w:rsidRDefault="00000000">
      <w:pPr>
        <w:spacing w:line="594" w:lineRule="exact"/>
        <w:ind w:firstLineChars="200" w:firstLine="632"/>
      </w:pPr>
      <w:r>
        <w:rPr>
          <w:rFonts w:eastAsia="楷体_GB2312" w:cs="楷体_GB2312" w:hint="eastAsia"/>
        </w:rPr>
        <w:t>（三）开展服务个体工商户发展典型案例征集。</w:t>
      </w:r>
      <w:r>
        <w:rPr>
          <w:rFonts w:cs="仿宋_GB2312" w:hint="eastAsia"/>
        </w:rPr>
        <w:t>通过征集</w:t>
      </w:r>
      <w:r>
        <w:rPr>
          <w:rFonts w:hint="eastAsia"/>
        </w:rPr>
        <w:t>活动，及时有效总结推广各地服务个体工商户发展的创新做法和典型经验，展示工作成效，树立工作典范，发挥典型推动作用，推动各地互学互鉴，共同提升服务个体工商户发展工作水平，营造关心关爱个体工商户发展良好氛围。</w:t>
      </w:r>
    </w:p>
    <w:bookmarkEnd w:id="0"/>
    <w:p w:rsidR="00C64701" w:rsidRDefault="00C64701">
      <w:pPr>
        <w:overflowPunct/>
        <w:topLinePunct w:val="0"/>
        <w:spacing w:line="594" w:lineRule="exact"/>
      </w:pPr>
    </w:p>
    <w:sectPr w:rsidR="00C64701">
      <w:footerReference w:type="even" r:id="rId8"/>
      <w:footerReference w:type="default" r:id="rId9"/>
      <w:pgSz w:w="11906" w:h="16838"/>
      <w:pgMar w:top="2098" w:right="1531" w:bottom="2041" w:left="1531" w:header="851" w:footer="1191" w:gutter="0"/>
      <w:cols w:space="720"/>
      <w:docGrid w:type="linesAndChars" w:linePitch="577"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FC7398" w:rsidRDefault="00FC7398">
      <w:r>
        <w:separator/>
      </w:r>
    </w:p>
  </w:endnote>
  <w:endnote w:type="continuationSeparator" w:id="0">
    <w:p w:rsidR="00FC7398" w:rsidRDefault="00FC7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楷体_GBK">
    <w:altName w:val="微软雅黑"/>
    <w:charset w:val="86"/>
    <w:family w:val="auto"/>
    <w:pitch w:val="default"/>
    <w:sig w:usb0="00000001"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Nimbus Roman No9 L">
    <w:charset w:val="00"/>
    <w:family w:val="auto"/>
    <w:pitch w:val="default"/>
  </w:font>
  <w:font w:name="方正小标宋简体">
    <w:panose1 w:val="02010601030101010101"/>
    <w:charset w:val="86"/>
    <w:family w:val="auto"/>
    <w:pitch w:val="variable"/>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64701" w:rsidRDefault="000C449D">
    <w:pPr>
      <w:tabs>
        <w:tab w:val="center" w:pos="4153"/>
        <w:tab w:val="right" w:pos="8306"/>
      </w:tabs>
      <w:topLinePunct w:val="0"/>
      <w:autoSpaceDE w:val="0"/>
      <w:autoSpaceDN w:val="0"/>
      <w:adjustRightInd w:val="0"/>
      <w:spacing w:line="471" w:lineRule="auto"/>
      <w:ind w:leftChars="100" w:left="320"/>
      <w:jc w:val="left"/>
      <w:textAlignment w:val="baseline"/>
      <w:rPr>
        <w:rFonts w:ascii="宋体" w:eastAsia="宋体" w:hAnsi="宋体" w:hint="eastAsia"/>
        <w:sz w:val="28"/>
      </w:rPr>
    </w:pPr>
    <w:r>
      <w:rPr>
        <w:rFonts w:hint="eastAsia"/>
        <w:noProof/>
        <w:sz w:val="28"/>
      </w:rPr>
      <mc:AlternateContent>
        <mc:Choice Requires="wps">
          <w:drawing>
            <wp:anchor distT="0" distB="0" distL="114300" distR="114300" simplePos="0" relativeHeight="251659264" behindDoc="0" locked="0" layoutInCell="1" allowOverlap="1">
              <wp:simplePos x="0" y="0"/>
              <wp:positionH relativeFrom="column">
                <wp:posOffset>92075</wp:posOffset>
              </wp:positionH>
              <wp:positionV relativeFrom="paragraph">
                <wp:posOffset>15240</wp:posOffset>
              </wp:positionV>
              <wp:extent cx="1742440" cy="342900"/>
              <wp:effectExtent l="0" t="0" r="3810" b="3810"/>
              <wp:wrapNone/>
              <wp:docPr id="16961203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2440" cy="342900"/>
                      </a:xfrm>
                      <a:prstGeom prst="rect">
                        <a:avLst/>
                      </a:prstGeom>
                      <a:gradFill rotWithShape="0">
                        <a:gsLst>
                          <a:gs pos="0">
                            <a:srgbClr val="FFFFFF"/>
                          </a:gs>
                          <a:gs pos="100000">
                            <a:srgbClr val="FFFFFF"/>
                          </a:gs>
                        </a:gsLst>
                        <a:lin ang="0"/>
                      </a:gradFill>
                      <a:ln>
                        <a:noFill/>
                      </a:ln>
                      <a:extLst>
                        <a:ext uri="{91240B29-F687-4F45-9708-019B960494DF}">
                          <a14:hiddenLine xmlns:a14="http://schemas.microsoft.com/office/drawing/2010/main" w="15875">
                            <a:solidFill>
                              <a:srgbClr val="000000"/>
                            </a:solidFill>
                            <a:miter lim="800000"/>
                            <a:headEnd/>
                            <a:tailEnd/>
                          </a14:hiddenLine>
                        </a:ext>
                      </a:extLst>
                    </wps:spPr>
                    <wps:txbx>
                      <w:txbxContent>
                        <w:p w:rsidR="00C64701" w:rsidRDefault="00000000">
                          <w:pPr>
                            <w:jc w:val="left"/>
                            <w:rPr>
                              <w:rFonts w:ascii="宋体" w:eastAsia="宋体" w:hAnsi="宋体" w:cs="宋体" w:hint="eastAsia"/>
                            </w:rPr>
                          </w:pPr>
                          <w:r>
                            <w:rPr>
                              <w:rFonts w:ascii="宋体" w:eastAsia="宋体" w:hAnsi="宋体" w:cs="宋体" w:hint="eastAsia"/>
                              <w:sz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eastAsia="宋体" w:cs="宋体" w:hint="eastAsia"/>
                            </w:rPr>
                            <w:t>3</w:t>
                          </w:r>
                          <w:r>
                            <w:rPr>
                              <w:rFonts w:ascii="宋体" w:eastAsia="宋体" w:hAnsi="宋体" w:cs="宋体" w:hint="eastAsia"/>
                              <w:sz w:val="28"/>
                              <w:szCs w:val="28"/>
                            </w:rPr>
                            <w:fldChar w:fldCharType="end"/>
                          </w:r>
                          <w:r>
                            <w:rPr>
                              <w:rFonts w:ascii="宋体" w:eastAsia="宋体" w:hAnsi="宋体" w:cs="宋体" w:hint="eastAsia"/>
                              <w:sz w:val="2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7.25pt;margin-top:1.2pt;width:137.2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" stroked="f" strokeweight="1.25pt">
              <v:fill angle="90" focus="100%" type="gradient">
                <o:fill v:ext="view" type="gradientUnscaled"/>
              </v:fill>
              <v:textbox>
                <w:txbxContent>
                  <w:p w:rsidR="00C64701" w:rsidRDefault="00000000">
                    <w:pPr>
                      <w:jc w:val="left"/>
                      <w:rPr>
                        <w:rFonts w:ascii="宋体" w:eastAsia="宋体" w:hAnsi="宋体" w:cs="宋体" w:hint="eastAsia"/>
                      </w:rPr>
                    </w:pPr>
                    <w:r>
                      <w:rPr>
                        <w:rFonts w:ascii="宋体" w:eastAsia="宋体" w:hAnsi="宋体" w:cs="宋体" w:hint="eastAsia"/>
                        <w:sz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eastAsia="宋体" w:cs="宋体" w:hint="eastAsia"/>
                      </w:rPr>
                      <w:t>3</w:t>
                    </w:r>
                    <w:r>
                      <w:rPr>
                        <w:rFonts w:ascii="宋体" w:eastAsia="宋体" w:hAnsi="宋体" w:cs="宋体" w:hint="eastAsia"/>
                        <w:sz w:val="28"/>
                        <w:szCs w:val="28"/>
                      </w:rPr>
                      <w:fldChar w:fldCharType="end"/>
                    </w:r>
                    <w:r>
                      <w:rPr>
                        <w:rFonts w:ascii="宋体" w:eastAsia="宋体" w:hAnsi="宋体" w:cs="宋体" w:hint="eastAsia"/>
                        <w:sz w:val="28"/>
                      </w:rPr>
                      <w:t xml:space="preserve"> —</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64701" w:rsidRDefault="000C449D">
    <w:r>
      <w:rPr>
        <w:noProof/>
      </w:rPr>
      <mc:AlternateContent>
        <mc:Choice Requires="wps">
          <w:drawing>
            <wp:anchor distT="0" distB="0" distL="114300" distR="114300" simplePos="0" relativeHeight="251660288" behindDoc="0" locked="0" layoutInCell="1" allowOverlap="1">
              <wp:simplePos x="0" y="0"/>
              <wp:positionH relativeFrom="page">
                <wp:posOffset>5419725</wp:posOffset>
              </wp:positionH>
              <wp:positionV relativeFrom="page">
                <wp:posOffset>9532620</wp:posOffset>
              </wp:positionV>
              <wp:extent cx="1156335" cy="332105"/>
              <wp:effectExtent l="0" t="0" r="0" b="1905"/>
              <wp:wrapNone/>
              <wp:docPr id="1386541757"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6335"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rsidR="00C64701" w:rsidRDefault="00000000">
                          <w:pPr>
                            <w:tabs>
                              <w:tab w:val="center" w:pos="4153"/>
                              <w:tab w:val="right" w:pos="8306"/>
                            </w:tabs>
                            <w:rPr>
                              <w:rFonts w:ascii="宋体" w:eastAsia="宋体" w:hAnsi="宋体" w:hint="eastAsia"/>
                              <w:sz w:val="28"/>
                            </w:rPr>
                          </w:pPr>
                          <w:bookmarkStart w:id="1" w:name="_RB5RMXPBX0X43_PageNum"/>
                          <w:r>
                            <w:rPr>
                              <w:rFonts w:ascii="宋体" w:eastAsia="宋体" w:hAnsi="宋体"/>
                              <w:sz w:val="28"/>
                            </w:rPr>
                            <w:t>—</w:t>
                          </w:r>
                          <w:r>
                            <w:rPr>
                              <w:rFonts w:ascii="宋体" w:eastAsia="宋体" w:hAnsi="宋体"/>
                              <w:sz w:val="24"/>
                            </w:rPr>
                            <w:t xml:space="preserve">　</w:t>
                          </w:r>
                          <w:r>
                            <w:rPr>
                              <w:rFonts w:ascii="宋体" w:eastAsia="宋体" w:hAnsi="宋体"/>
                              <w:sz w:val="28"/>
                            </w:rPr>
                            <w:fldChar w:fldCharType="begin"/>
                          </w:r>
                          <w:r>
                            <w:rPr>
                              <w:rFonts w:ascii="宋体" w:eastAsia="宋体" w:hAnsi="宋体"/>
                              <w:sz w:val="28"/>
                            </w:rPr>
                            <w:instrText xml:space="preserve"> PAGE  \* MERGEFORMAT </w:instrText>
                          </w:r>
                          <w:r>
                            <w:rPr>
                              <w:rFonts w:ascii="宋体" w:eastAsia="宋体" w:hAnsi="宋体"/>
                              <w:sz w:val="28"/>
                            </w:rPr>
                            <w:fldChar w:fldCharType="separate"/>
                          </w:r>
                          <w:r>
                            <w:rPr>
                              <w:rFonts w:ascii="宋体" w:eastAsia="宋体" w:hAnsi="宋体"/>
                              <w:sz w:val="28"/>
                            </w:rPr>
                            <w:t>1</w:t>
                          </w:r>
                          <w:r>
                            <w:rPr>
                              <w:rFonts w:ascii="宋体" w:eastAsia="宋体" w:hAnsi="宋体"/>
                              <w:sz w:val="28"/>
                            </w:rPr>
                            <w:fldChar w:fldCharType="end"/>
                          </w:r>
                          <w:r>
                            <w:rPr>
                              <w:rFonts w:ascii="宋体" w:eastAsia="宋体" w:hAnsi="宋体"/>
                              <w:sz w:val="24"/>
                            </w:rPr>
                            <w:t xml:space="preserve">　</w:t>
                          </w:r>
                          <w:r>
                            <w:rPr>
                              <w:rFonts w:ascii="宋体" w:eastAsia="宋体" w:hAnsi="宋体"/>
                              <w:sz w:val="28"/>
                            </w:rPr>
                            <w:t>—</w:t>
                          </w:r>
                          <w:bookmarkEnd w:id="1"/>
                        </w:p>
                      </w:txbxContent>
                    </wps:txbx>
                    <wps:bodyPr rot="0" vert="horz" wrap="none" lIns="203200" tIns="0" rIns="20320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27" type="#_x0000_t202" style="position:absolute;left:0;text-align:left;margin-left:426.75pt;margin-top:750.6pt;width:91.05pt;height:26.15pt;z-index:25166028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" filled="f" stroked="f" strokeweight="1.25pt">
              <v:textbox style="mso-fit-shape-to-text:t" inset="16pt,0,16pt,0">
                <w:txbxContent>
                  <w:p w:rsidR="00C64701" w:rsidRDefault="00000000">
                    <w:pPr>
                      <w:tabs>
                        <w:tab w:val="center" w:pos="4153"/>
                        <w:tab w:val="right" w:pos="8306"/>
                      </w:tabs>
                      <w:rPr>
                        <w:rFonts w:ascii="宋体" w:eastAsia="宋体" w:hAnsi="宋体" w:hint="eastAsia"/>
                        <w:sz w:val="28"/>
                      </w:rPr>
                    </w:pPr>
                    <w:bookmarkStart w:id="2" w:name="_RB5RMXPBX0X43_PageNum"/>
                    <w:r>
                      <w:rPr>
                        <w:rFonts w:ascii="宋体" w:eastAsia="宋体" w:hAnsi="宋体"/>
                        <w:sz w:val="28"/>
                      </w:rPr>
                      <w:t>—</w:t>
                    </w:r>
                    <w:r>
                      <w:rPr>
                        <w:rFonts w:ascii="宋体" w:eastAsia="宋体" w:hAnsi="宋体"/>
                        <w:sz w:val="24"/>
                      </w:rPr>
                      <w:t xml:space="preserve">　</w:t>
                    </w:r>
                    <w:r>
                      <w:rPr>
                        <w:rFonts w:ascii="宋体" w:eastAsia="宋体" w:hAnsi="宋体"/>
                        <w:sz w:val="28"/>
                      </w:rPr>
                      <w:fldChar w:fldCharType="begin"/>
                    </w:r>
                    <w:r>
                      <w:rPr>
                        <w:rFonts w:ascii="宋体" w:eastAsia="宋体" w:hAnsi="宋体"/>
                        <w:sz w:val="28"/>
                      </w:rPr>
                      <w:instrText xml:space="preserve"> PAGE  \* MERGEFORMAT </w:instrText>
                    </w:r>
                    <w:r>
                      <w:rPr>
                        <w:rFonts w:ascii="宋体" w:eastAsia="宋体" w:hAnsi="宋体"/>
                        <w:sz w:val="28"/>
                      </w:rPr>
                      <w:fldChar w:fldCharType="separate"/>
                    </w:r>
                    <w:r>
                      <w:rPr>
                        <w:rFonts w:ascii="宋体" w:eastAsia="宋体" w:hAnsi="宋体"/>
                        <w:sz w:val="28"/>
                      </w:rPr>
                      <w:t>1</w:t>
                    </w:r>
                    <w:r>
                      <w:rPr>
                        <w:rFonts w:ascii="宋体" w:eastAsia="宋体" w:hAnsi="宋体"/>
                        <w:sz w:val="28"/>
                      </w:rPr>
                      <w:fldChar w:fldCharType="end"/>
                    </w:r>
                    <w:r>
                      <w:rPr>
                        <w:rFonts w:ascii="宋体" w:eastAsia="宋体" w:hAnsi="宋体"/>
                        <w:sz w:val="24"/>
                      </w:rPr>
                      <w:t xml:space="preserve">　</w:t>
                    </w:r>
                    <w:r>
                      <w:rPr>
                        <w:rFonts w:ascii="宋体" w:eastAsia="宋体" w:hAnsi="宋体"/>
                        <w:sz w:val="28"/>
                      </w:rPr>
                      <w:t>—</w:t>
                    </w:r>
                    <w:bookmarkEnd w:id="2"/>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FC7398" w:rsidRDefault="00FC7398">
      <w:r>
        <w:separator/>
      </w:r>
    </w:p>
  </w:footnote>
  <w:footnote w:type="continuationSeparator" w:id="0">
    <w:p w:rsidR="00FC7398" w:rsidRDefault="00FC73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FC7DE0D"/>
    <w:multiLevelType w:val="multilevel"/>
    <w:tmpl w:val="DFC7DE0D"/>
    <w:lvl w:ilvl="0">
      <w:start w:val="1"/>
      <w:numFmt w:val="chineseCounting"/>
      <w:pStyle w:val="1"/>
      <w:suff w:val="nothing"/>
      <w:lvlText w:val="%1、"/>
      <w:lvlJc w:val="left"/>
      <w:pPr>
        <w:ind w:left="0" w:firstLine="0"/>
      </w:pPr>
      <w:rPr>
        <w:rFonts w:hint="eastAsia"/>
      </w:rPr>
    </w:lvl>
    <w:lvl w:ilvl="1">
      <w:start w:val="1"/>
      <w:numFmt w:val="chineseCounting"/>
      <w:pStyle w:val="2"/>
      <w:suff w:val="nothing"/>
      <w:lvlText w:val="（%2）"/>
      <w:lvlJc w:val="left"/>
      <w:pPr>
        <w:ind w:left="0" w:firstLine="0"/>
      </w:pPr>
      <w:rPr>
        <w:rFonts w:hint="eastAsia"/>
      </w:rPr>
    </w:lvl>
    <w:lvl w:ilvl="2">
      <w:start w:val="1"/>
      <w:numFmt w:val="decimal"/>
      <w:pStyle w:val="3"/>
      <w:suff w:val="nothing"/>
      <w:lvlText w:val="%3．"/>
      <w:lvlJc w:val="left"/>
      <w:pPr>
        <w:ind w:left="0" w:firstLine="0"/>
      </w:pPr>
      <w:rPr>
        <w:rFonts w:hint="eastAsia"/>
      </w:rPr>
    </w:lvl>
    <w:lvl w:ilvl="3">
      <w:start w:val="1"/>
      <w:numFmt w:val="decimal"/>
      <w:pStyle w:val="4"/>
      <w:suff w:val="nothing"/>
      <w:lvlText w:val="（%4）"/>
      <w:lvlJc w:val="left"/>
      <w:pPr>
        <w:ind w:left="0" w:firstLine="0"/>
      </w:pPr>
      <w:rPr>
        <w:rFonts w:hint="eastAsia"/>
      </w:rPr>
    </w:lvl>
    <w:lvl w:ilvl="4">
      <w:start w:val="1"/>
      <w:numFmt w:val="decimalEnclosedCircleChinese"/>
      <w:suff w:val="nothing"/>
      <w:lvlText w:val="%5"/>
      <w:lvlJc w:val="left"/>
      <w:pPr>
        <w:ind w:left="0" w:firstLine="0"/>
      </w:pPr>
      <w:rPr>
        <w:rFonts w:hint="eastAsia"/>
      </w:rPr>
    </w:lvl>
    <w:lvl w:ilvl="5">
      <w:start w:val="1"/>
      <w:numFmt w:val="upperLetter"/>
      <w:suff w:val="nothing"/>
      <w:lvlText w:val="%6."/>
      <w:lvlJc w:val="left"/>
      <w:pPr>
        <w:ind w:left="0" w:firstLine="0"/>
      </w:pPr>
      <w:rPr>
        <w:rFonts w:hint="eastAsia"/>
      </w:rPr>
    </w:lvl>
    <w:lvl w:ilvl="6">
      <w:start w:val="1"/>
      <w:numFmt w:val="lowerLetter"/>
      <w:suff w:val="nothing"/>
      <w:lvlText w:val="%7．"/>
      <w:lvlJc w:val="left"/>
      <w:pPr>
        <w:ind w:left="0" w:firstLine="0"/>
      </w:pPr>
      <w:rPr>
        <w:rFonts w:hint="eastAsia"/>
      </w:rPr>
    </w:lvl>
    <w:lvl w:ilvl="7">
      <w:start w:val="1"/>
      <w:numFmt w:val="upperLetter"/>
      <w:suff w:val="nothing"/>
      <w:lvlText w:val="（%8）"/>
      <w:lvlJc w:val="left"/>
      <w:pPr>
        <w:ind w:left="0" w:firstLine="0"/>
      </w:pPr>
      <w:rPr>
        <w:rFonts w:hint="eastAsia"/>
      </w:rPr>
    </w:lvl>
    <w:lvl w:ilvl="8">
      <w:start w:val="1"/>
      <w:numFmt w:val="lowerLetter"/>
      <w:suff w:val="nothing"/>
      <w:lvlText w:val="（%9）"/>
      <w:lvlJc w:val="left"/>
      <w:pPr>
        <w:ind w:left="0" w:firstLine="0"/>
      </w:pPr>
      <w:rPr>
        <w:rFonts w:hint="eastAsia"/>
      </w:rPr>
    </w:lvl>
  </w:abstractNum>
  <w:abstractNum w:abstractNumId="1" w15:restartNumberingAfterBreak="0">
    <w:nsid w:val="06478242"/>
    <w:multiLevelType w:val="singleLevel"/>
    <w:tmpl w:val="06478242"/>
    <w:lvl w:ilvl="0">
      <w:start w:val="2"/>
      <w:numFmt w:val="chineseCounting"/>
      <w:suff w:val="nothing"/>
      <w:lvlText w:val="%1、"/>
      <w:lvlJc w:val="left"/>
      <w:rPr>
        <w:rFonts w:hint="eastAsia"/>
      </w:rPr>
    </w:lvl>
  </w:abstractNum>
  <w:num w:numId="1" w16cid:durableId="1815369175">
    <w:abstractNumId w:val="0"/>
  </w:num>
  <w:num w:numId="2" w16cid:durableId="4664346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32"/>
  <w:drawingGridHorizontalSpacing w:val="158"/>
  <w:drawingGridVerticalSpacing w:val="289"/>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WQ4NTkwNmFiY2M5MGQzMzUyYmZkYTI0Zjg4Nzk3MmQifQ=="/>
    <w:docVar w:name="iDocStyle" w:val="2"/>
  </w:docVars>
  <w:rsids>
    <w:rsidRoot w:val="77BF4FA9"/>
    <w:rsid w:val="D4DA255B"/>
    <w:rsid w:val="D5E7047F"/>
    <w:rsid w:val="D5EFA79D"/>
    <w:rsid w:val="D7FEAF1B"/>
    <w:rsid w:val="D89FED72"/>
    <w:rsid w:val="DA2E2154"/>
    <w:rsid w:val="DA3DEFB6"/>
    <w:rsid w:val="DBDCAA73"/>
    <w:rsid w:val="DBFF973E"/>
    <w:rsid w:val="DC2E0FC6"/>
    <w:rsid w:val="DD3FDF6D"/>
    <w:rsid w:val="DD6B88E6"/>
    <w:rsid w:val="DDCAAE15"/>
    <w:rsid w:val="DEDD1465"/>
    <w:rsid w:val="DF77A53F"/>
    <w:rsid w:val="DFEF64B3"/>
    <w:rsid w:val="E6F613AA"/>
    <w:rsid w:val="E78FE202"/>
    <w:rsid w:val="E8FDEAA2"/>
    <w:rsid w:val="EBE218F1"/>
    <w:rsid w:val="ED3ED0C5"/>
    <w:rsid w:val="EDBE791B"/>
    <w:rsid w:val="EDFA0159"/>
    <w:rsid w:val="EDFB0D22"/>
    <w:rsid w:val="EFBF7CB2"/>
    <w:rsid w:val="EFDC9350"/>
    <w:rsid w:val="EFFEEE2A"/>
    <w:rsid w:val="EFFF243F"/>
    <w:rsid w:val="F36E6BC7"/>
    <w:rsid w:val="F3FFD3F8"/>
    <w:rsid w:val="F55FCE0C"/>
    <w:rsid w:val="F5FE9FFA"/>
    <w:rsid w:val="F7B75FAF"/>
    <w:rsid w:val="F7BF5F61"/>
    <w:rsid w:val="F7F3882F"/>
    <w:rsid w:val="F7F396D9"/>
    <w:rsid w:val="F7F76B6C"/>
    <w:rsid w:val="F7FFA346"/>
    <w:rsid w:val="F97E534E"/>
    <w:rsid w:val="F9A9A071"/>
    <w:rsid w:val="FAFD03DF"/>
    <w:rsid w:val="FAFDE229"/>
    <w:rsid w:val="FBD8E88A"/>
    <w:rsid w:val="FBEB5EC9"/>
    <w:rsid w:val="FBFF054E"/>
    <w:rsid w:val="FCF77402"/>
    <w:rsid w:val="FDDD1E5F"/>
    <w:rsid w:val="FDFE0069"/>
    <w:rsid w:val="FDFFE727"/>
    <w:rsid w:val="FEBD40BD"/>
    <w:rsid w:val="FF3ECEA8"/>
    <w:rsid w:val="FF3FF087"/>
    <w:rsid w:val="FF435FA0"/>
    <w:rsid w:val="FF6F3636"/>
    <w:rsid w:val="FF7A6D6D"/>
    <w:rsid w:val="FF7BB4C6"/>
    <w:rsid w:val="FF7F5147"/>
    <w:rsid w:val="FFB3AFC8"/>
    <w:rsid w:val="FFBD2CEF"/>
    <w:rsid w:val="FFBE0827"/>
    <w:rsid w:val="FFBF6502"/>
    <w:rsid w:val="FFBFDAA4"/>
    <w:rsid w:val="FFD69094"/>
    <w:rsid w:val="FFD96887"/>
    <w:rsid w:val="FFED4DA5"/>
    <w:rsid w:val="FFEF2583"/>
    <w:rsid w:val="FFF92417"/>
    <w:rsid w:val="FFFBD9F1"/>
    <w:rsid w:val="FFFEDAAC"/>
    <w:rsid w:val="FFFF7343"/>
    <w:rsid w:val="FFFFAB92"/>
    <w:rsid w:val="000C449D"/>
    <w:rsid w:val="00212835"/>
    <w:rsid w:val="008B11F3"/>
    <w:rsid w:val="00B947D2"/>
    <w:rsid w:val="00C64701"/>
    <w:rsid w:val="00D45FD9"/>
    <w:rsid w:val="00E84DC2"/>
    <w:rsid w:val="00EB1AF2"/>
    <w:rsid w:val="00FC7398"/>
    <w:rsid w:val="01C934A7"/>
    <w:rsid w:val="022E51A4"/>
    <w:rsid w:val="028F0068"/>
    <w:rsid w:val="03121E2D"/>
    <w:rsid w:val="054F4CD9"/>
    <w:rsid w:val="060D2361"/>
    <w:rsid w:val="06D40C09"/>
    <w:rsid w:val="06FD7006"/>
    <w:rsid w:val="074467B0"/>
    <w:rsid w:val="07D73FF6"/>
    <w:rsid w:val="09477431"/>
    <w:rsid w:val="09DD383B"/>
    <w:rsid w:val="0A8A71D7"/>
    <w:rsid w:val="0B271356"/>
    <w:rsid w:val="0B3E49A1"/>
    <w:rsid w:val="0B6F2EB2"/>
    <w:rsid w:val="0BBC797B"/>
    <w:rsid w:val="0BBE7C4E"/>
    <w:rsid w:val="0BC165AA"/>
    <w:rsid w:val="0BCC68EA"/>
    <w:rsid w:val="0BD229F1"/>
    <w:rsid w:val="0C614AB6"/>
    <w:rsid w:val="0CC41080"/>
    <w:rsid w:val="0D633744"/>
    <w:rsid w:val="0D8B3047"/>
    <w:rsid w:val="0DE15FD5"/>
    <w:rsid w:val="0DF465A6"/>
    <w:rsid w:val="0EED5E99"/>
    <w:rsid w:val="0F701F63"/>
    <w:rsid w:val="0F734D7E"/>
    <w:rsid w:val="0FDF4796"/>
    <w:rsid w:val="1002755C"/>
    <w:rsid w:val="10B33D68"/>
    <w:rsid w:val="11237698"/>
    <w:rsid w:val="11942024"/>
    <w:rsid w:val="11AA0589"/>
    <w:rsid w:val="11E81EE1"/>
    <w:rsid w:val="11F36492"/>
    <w:rsid w:val="123723D1"/>
    <w:rsid w:val="12987453"/>
    <w:rsid w:val="1381018F"/>
    <w:rsid w:val="13C65400"/>
    <w:rsid w:val="13D609D3"/>
    <w:rsid w:val="14C37AE5"/>
    <w:rsid w:val="15332E80"/>
    <w:rsid w:val="16960FB4"/>
    <w:rsid w:val="16BD1C5E"/>
    <w:rsid w:val="16D82805"/>
    <w:rsid w:val="175D537C"/>
    <w:rsid w:val="1794461D"/>
    <w:rsid w:val="17ED57D0"/>
    <w:rsid w:val="18355BC4"/>
    <w:rsid w:val="187D5F43"/>
    <w:rsid w:val="18EF7410"/>
    <w:rsid w:val="1AEF1640"/>
    <w:rsid w:val="1B454350"/>
    <w:rsid w:val="1B486B8B"/>
    <w:rsid w:val="1B854BF2"/>
    <w:rsid w:val="1B996FD0"/>
    <w:rsid w:val="1BBB377F"/>
    <w:rsid w:val="1C2D3246"/>
    <w:rsid w:val="1C313B23"/>
    <w:rsid w:val="1C7BB57B"/>
    <w:rsid w:val="1C7F3050"/>
    <w:rsid w:val="1CDA3AB5"/>
    <w:rsid w:val="1CFF8C3B"/>
    <w:rsid w:val="1D167259"/>
    <w:rsid w:val="1D4E2424"/>
    <w:rsid w:val="1D4E3B6D"/>
    <w:rsid w:val="1D6B3520"/>
    <w:rsid w:val="1DDD4A9D"/>
    <w:rsid w:val="1DF7BAB0"/>
    <w:rsid w:val="1E1E0F6E"/>
    <w:rsid w:val="1E5F434E"/>
    <w:rsid w:val="1EBA6A7D"/>
    <w:rsid w:val="1EE14DB9"/>
    <w:rsid w:val="1F054700"/>
    <w:rsid w:val="1F130856"/>
    <w:rsid w:val="1FAF4DFB"/>
    <w:rsid w:val="208609C4"/>
    <w:rsid w:val="21567D40"/>
    <w:rsid w:val="218F2800"/>
    <w:rsid w:val="218F339D"/>
    <w:rsid w:val="21962D28"/>
    <w:rsid w:val="21D81213"/>
    <w:rsid w:val="225603D9"/>
    <w:rsid w:val="22602F7B"/>
    <w:rsid w:val="23205982"/>
    <w:rsid w:val="238667D1"/>
    <w:rsid w:val="23D5305D"/>
    <w:rsid w:val="23E11F56"/>
    <w:rsid w:val="247A7642"/>
    <w:rsid w:val="250A05C9"/>
    <w:rsid w:val="25DC6129"/>
    <w:rsid w:val="25F87A5A"/>
    <w:rsid w:val="26082272"/>
    <w:rsid w:val="260D160E"/>
    <w:rsid w:val="26C713AC"/>
    <w:rsid w:val="26D64C18"/>
    <w:rsid w:val="27086B6D"/>
    <w:rsid w:val="27DA2D80"/>
    <w:rsid w:val="27FF449E"/>
    <w:rsid w:val="28491475"/>
    <w:rsid w:val="285443B7"/>
    <w:rsid w:val="28611B98"/>
    <w:rsid w:val="2A003631"/>
    <w:rsid w:val="2A0321A1"/>
    <w:rsid w:val="2A1838AC"/>
    <w:rsid w:val="2A783D3B"/>
    <w:rsid w:val="2ABA4E53"/>
    <w:rsid w:val="2B097DA7"/>
    <w:rsid w:val="2BF1635E"/>
    <w:rsid w:val="2BF3193B"/>
    <w:rsid w:val="2C38122A"/>
    <w:rsid w:val="2CF730DA"/>
    <w:rsid w:val="2D140142"/>
    <w:rsid w:val="2D5653ED"/>
    <w:rsid w:val="2D5C32B5"/>
    <w:rsid w:val="2EC538B9"/>
    <w:rsid w:val="2F5F8434"/>
    <w:rsid w:val="2F8C6535"/>
    <w:rsid w:val="30D868B1"/>
    <w:rsid w:val="30DB78F1"/>
    <w:rsid w:val="31231C2B"/>
    <w:rsid w:val="31E45A5D"/>
    <w:rsid w:val="32711143"/>
    <w:rsid w:val="32C67E9A"/>
    <w:rsid w:val="32D24BAE"/>
    <w:rsid w:val="336549AC"/>
    <w:rsid w:val="3390006B"/>
    <w:rsid w:val="34661D88"/>
    <w:rsid w:val="347A1058"/>
    <w:rsid w:val="34D9266B"/>
    <w:rsid w:val="34FF1617"/>
    <w:rsid w:val="350F349A"/>
    <w:rsid w:val="353B70B9"/>
    <w:rsid w:val="353F1ED0"/>
    <w:rsid w:val="35503F04"/>
    <w:rsid w:val="35CE565F"/>
    <w:rsid w:val="35EF1C98"/>
    <w:rsid w:val="36B21EFF"/>
    <w:rsid w:val="3726572C"/>
    <w:rsid w:val="377EDA86"/>
    <w:rsid w:val="386E78AD"/>
    <w:rsid w:val="38A74A9E"/>
    <w:rsid w:val="39C602F3"/>
    <w:rsid w:val="3AAF3A4F"/>
    <w:rsid w:val="3B2E3899"/>
    <w:rsid w:val="3B3F8E02"/>
    <w:rsid w:val="3BE63153"/>
    <w:rsid w:val="3CC86FC9"/>
    <w:rsid w:val="3CDB7A18"/>
    <w:rsid w:val="3D2C38E9"/>
    <w:rsid w:val="3D98639D"/>
    <w:rsid w:val="3DDF61ED"/>
    <w:rsid w:val="3DFE4F58"/>
    <w:rsid w:val="3E1942EE"/>
    <w:rsid w:val="3E6B358D"/>
    <w:rsid w:val="3E97BFE5"/>
    <w:rsid w:val="3EAF451B"/>
    <w:rsid w:val="3EFF638D"/>
    <w:rsid w:val="3F68198D"/>
    <w:rsid w:val="3FBF1E3F"/>
    <w:rsid w:val="3FDBF4B5"/>
    <w:rsid w:val="3FE750BD"/>
    <w:rsid w:val="3FFF0295"/>
    <w:rsid w:val="41336AD4"/>
    <w:rsid w:val="417A2B70"/>
    <w:rsid w:val="419D07B6"/>
    <w:rsid w:val="41EC790D"/>
    <w:rsid w:val="42601751"/>
    <w:rsid w:val="433B14DC"/>
    <w:rsid w:val="43C03DDF"/>
    <w:rsid w:val="44092317"/>
    <w:rsid w:val="440D326B"/>
    <w:rsid w:val="44AF59DF"/>
    <w:rsid w:val="452B5EE5"/>
    <w:rsid w:val="46345762"/>
    <w:rsid w:val="46AD3014"/>
    <w:rsid w:val="471F8238"/>
    <w:rsid w:val="473E3A05"/>
    <w:rsid w:val="47D04DD3"/>
    <w:rsid w:val="482E6800"/>
    <w:rsid w:val="49C24091"/>
    <w:rsid w:val="49D44350"/>
    <w:rsid w:val="4A020EFA"/>
    <w:rsid w:val="4AB72E35"/>
    <w:rsid w:val="4AF4750C"/>
    <w:rsid w:val="4B3C511D"/>
    <w:rsid w:val="4B813B7F"/>
    <w:rsid w:val="4BAA21AF"/>
    <w:rsid w:val="4BB72F4C"/>
    <w:rsid w:val="4C424DA5"/>
    <w:rsid w:val="4C43011F"/>
    <w:rsid w:val="4C9A22DD"/>
    <w:rsid w:val="4CEB05BD"/>
    <w:rsid w:val="4D2D2CCC"/>
    <w:rsid w:val="4F275969"/>
    <w:rsid w:val="4F7C26ED"/>
    <w:rsid w:val="4FC96D4D"/>
    <w:rsid w:val="4FDDAC64"/>
    <w:rsid w:val="4FE75B49"/>
    <w:rsid w:val="4FEA72B7"/>
    <w:rsid w:val="50396AAB"/>
    <w:rsid w:val="51F64E63"/>
    <w:rsid w:val="5206251F"/>
    <w:rsid w:val="527362D4"/>
    <w:rsid w:val="529C6295"/>
    <w:rsid w:val="52CB3AA0"/>
    <w:rsid w:val="53CC335A"/>
    <w:rsid w:val="54AD6F7A"/>
    <w:rsid w:val="557C634E"/>
    <w:rsid w:val="55E23AF4"/>
    <w:rsid w:val="560E3C80"/>
    <w:rsid w:val="56391F84"/>
    <w:rsid w:val="56E527CC"/>
    <w:rsid w:val="575B3360"/>
    <w:rsid w:val="5768330F"/>
    <w:rsid w:val="57A0451C"/>
    <w:rsid w:val="57A10251"/>
    <w:rsid w:val="582B203B"/>
    <w:rsid w:val="58BB8C0F"/>
    <w:rsid w:val="58C92322"/>
    <w:rsid w:val="58F238E6"/>
    <w:rsid w:val="59BF5EB8"/>
    <w:rsid w:val="59D7EE3B"/>
    <w:rsid w:val="5A360971"/>
    <w:rsid w:val="5A530628"/>
    <w:rsid w:val="5A7F0CD0"/>
    <w:rsid w:val="5AA51BA0"/>
    <w:rsid w:val="5AB3246B"/>
    <w:rsid w:val="5AFBEC2E"/>
    <w:rsid w:val="5B8F7F02"/>
    <w:rsid w:val="5BCC4E29"/>
    <w:rsid w:val="5BFFC0D3"/>
    <w:rsid w:val="5C0E30F8"/>
    <w:rsid w:val="5C106A66"/>
    <w:rsid w:val="5C4B558F"/>
    <w:rsid w:val="5CA31495"/>
    <w:rsid w:val="5D41361C"/>
    <w:rsid w:val="5D432A17"/>
    <w:rsid w:val="5D471492"/>
    <w:rsid w:val="5D5F6382"/>
    <w:rsid w:val="5D7D1A53"/>
    <w:rsid w:val="5D9FE739"/>
    <w:rsid w:val="5DBFC11B"/>
    <w:rsid w:val="5E3C311E"/>
    <w:rsid w:val="5E743A82"/>
    <w:rsid w:val="5E970CEE"/>
    <w:rsid w:val="5EBC5805"/>
    <w:rsid w:val="5FEA1289"/>
    <w:rsid w:val="5FFECBA1"/>
    <w:rsid w:val="5FFF0468"/>
    <w:rsid w:val="60215972"/>
    <w:rsid w:val="607E5AB0"/>
    <w:rsid w:val="609E6414"/>
    <w:rsid w:val="60C13DEF"/>
    <w:rsid w:val="612D3043"/>
    <w:rsid w:val="61D86680"/>
    <w:rsid w:val="626C0722"/>
    <w:rsid w:val="62CF672C"/>
    <w:rsid w:val="631B0443"/>
    <w:rsid w:val="646C40CD"/>
    <w:rsid w:val="64852A79"/>
    <w:rsid w:val="649D4252"/>
    <w:rsid w:val="64AC47C3"/>
    <w:rsid w:val="653818D1"/>
    <w:rsid w:val="656D3647"/>
    <w:rsid w:val="665541AD"/>
    <w:rsid w:val="66922AE6"/>
    <w:rsid w:val="66C5682B"/>
    <w:rsid w:val="6708785B"/>
    <w:rsid w:val="673C74A5"/>
    <w:rsid w:val="67FE2B69"/>
    <w:rsid w:val="680C0D40"/>
    <w:rsid w:val="68BC2222"/>
    <w:rsid w:val="69367529"/>
    <w:rsid w:val="695276E9"/>
    <w:rsid w:val="69AC7D9E"/>
    <w:rsid w:val="6A5C247B"/>
    <w:rsid w:val="6A9E0DF9"/>
    <w:rsid w:val="6A9F7A42"/>
    <w:rsid w:val="6BCA1B36"/>
    <w:rsid w:val="6BFB5F69"/>
    <w:rsid w:val="6BFFDE3F"/>
    <w:rsid w:val="6C122D8D"/>
    <w:rsid w:val="6C29554A"/>
    <w:rsid w:val="6CFF56E3"/>
    <w:rsid w:val="6DD769BC"/>
    <w:rsid w:val="6E2A73A3"/>
    <w:rsid w:val="6E32509B"/>
    <w:rsid w:val="6EAD3061"/>
    <w:rsid w:val="6EF763C9"/>
    <w:rsid w:val="6F021BA3"/>
    <w:rsid w:val="6F0312AE"/>
    <w:rsid w:val="6F1B6955"/>
    <w:rsid w:val="6F347082"/>
    <w:rsid w:val="6FA66023"/>
    <w:rsid w:val="6FA73134"/>
    <w:rsid w:val="6FB11D6D"/>
    <w:rsid w:val="6FB3197B"/>
    <w:rsid w:val="6FFB03E6"/>
    <w:rsid w:val="6FFE4222"/>
    <w:rsid w:val="6FFEE1F6"/>
    <w:rsid w:val="70206203"/>
    <w:rsid w:val="706E7C66"/>
    <w:rsid w:val="70A52885"/>
    <w:rsid w:val="719B2F11"/>
    <w:rsid w:val="71D01EC0"/>
    <w:rsid w:val="72652BB9"/>
    <w:rsid w:val="727B1250"/>
    <w:rsid w:val="72BA5238"/>
    <w:rsid w:val="72F935F4"/>
    <w:rsid w:val="7373296F"/>
    <w:rsid w:val="73E16C6C"/>
    <w:rsid w:val="745A5D8C"/>
    <w:rsid w:val="74961BD4"/>
    <w:rsid w:val="75823E82"/>
    <w:rsid w:val="75B7704F"/>
    <w:rsid w:val="75F68027"/>
    <w:rsid w:val="75FD0E29"/>
    <w:rsid w:val="76C87037"/>
    <w:rsid w:val="76D047B8"/>
    <w:rsid w:val="76DE028D"/>
    <w:rsid w:val="76ED7153"/>
    <w:rsid w:val="76F05CA2"/>
    <w:rsid w:val="76F507BA"/>
    <w:rsid w:val="770C0E05"/>
    <w:rsid w:val="773E522B"/>
    <w:rsid w:val="77BF4FA9"/>
    <w:rsid w:val="77BFB64D"/>
    <w:rsid w:val="77C5C02B"/>
    <w:rsid w:val="77D16EA3"/>
    <w:rsid w:val="77DD6389"/>
    <w:rsid w:val="77FB9B88"/>
    <w:rsid w:val="77FF87AB"/>
    <w:rsid w:val="789F2464"/>
    <w:rsid w:val="78C43EAD"/>
    <w:rsid w:val="78D863D1"/>
    <w:rsid w:val="79F38F9E"/>
    <w:rsid w:val="79F7F953"/>
    <w:rsid w:val="7A2F7467"/>
    <w:rsid w:val="7A8D479E"/>
    <w:rsid w:val="7AAAAEEA"/>
    <w:rsid w:val="7AE84DD2"/>
    <w:rsid w:val="7B51606E"/>
    <w:rsid w:val="7B7FA3C1"/>
    <w:rsid w:val="7BB1478B"/>
    <w:rsid w:val="7BB54D4E"/>
    <w:rsid w:val="7BCB288C"/>
    <w:rsid w:val="7BCF5A54"/>
    <w:rsid w:val="7BDD1C74"/>
    <w:rsid w:val="7BEA873F"/>
    <w:rsid w:val="7BF64AF7"/>
    <w:rsid w:val="7BF728D3"/>
    <w:rsid w:val="7BFF28C2"/>
    <w:rsid w:val="7C744B64"/>
    <w:rsid w:val="7D7FDE24"/>
    <w:rsid w:val="7D8A16F2"/>
    <w:rsid w:val="7DBFC919"/>
    <w:rsid w:val="7DDB25BE"/>
    <w:rsid w:val="7DF6581C"/>
    <w:rsid w:val="7DFA7AD9"/>
    <w:rsid w:val="7DFF22AE"/>
    <w:rsid w:val="7E1475D4"/>
    <w:rsid w:val="7E545290"/>
    <w:rsid w:val="7E988B4C"/>
    <w:rsid w:val="7EA65BD8"/>
    <w:rsid w:val="7EAE3955"/>
    <w:rsid w:val="7EC62889"/>
    <w:rsid w:val="7ED9A838"/>
    <w:rsid w:val="7EE7F7D4"/>
    <w:rsid w:val="7EFF0386"/>
    <w:rsid w:val="7F3667BE"/>
    <w:rsid w:val="7F3A4F04"/>
    <w:rsid w:val="7F654D11"/>
    <w:rsid w:val="7F6FADD1"/>
    <w:rsid w:val="7F77C600"/>
    <w:rsid w:val="7F7F45A2"/>
    <w:rsid w:val="7F8C70E2"/>
    <w:rsid w:val="7F9D22EF"/>
    <w:rsid w:val="7FBD539F"/>
    <w:rsid w:val="7FBF3A90"/>
    <w:rsid w:val="7FBFE854"/>
    <w:rsid w:val="7FEEE699"/>
    <w:rsid w:val="7FFB1D0C"/>
    <w:rsid w:val="8D9FAAFE"/>
    <w:rsid w:val="8F3F2ED2"/>
    <w:rsid w:val="97B7AD9D"/>
    <w:rsid w:val="9B7C8362"/>
    <w:rsid w:val="9FC31C5C"/>
    <w:rsid w:val="9FF46FCE"/>
    <w:rsid w:val="A5FDF063"/>
    <w:rsid w:val="A7CB0238"/>
    <w:rsid w:val="AAFD93C6"/>
    <w:rsid w:val="ADFFC633"/>
    <w:rsid w:val="AE299F11"/>
    <w:rsid w:val="AE73F9E2"/>
    <w:rsid w:val="AEFC4C5C"/>
    <w:rsid w:val="AF6A3538"/>
    <w:rsid w:val="B6BEB5D0"/>
    <w:rsid w:val="B76F328D"/>
    <w:rsid w:val="B7D9065E"/>
    <w:rsid w:val="B9BECF07"/>
    <w:rsid w:val="BAF2E1F2"/>
    <w:rsid w:val="BBBBC273"/>
    <w:rsid w:val="BD8FC5E1"/>
    <w:rsid w:val="BE07045B"/>
    <w:rsid w:val="BE7F727B"/>
    <w:rsid w:val="BF7D3A4F"/>
    <w:rsid w:val="BFBED383"/>
    <w:rsid w:val="BFEF9298"/>
    <w:rsid w:val="BFF549EB"/>
    <w:rsid w:val="C3FBC70B"/>
    <w:rsid w:val="C5F166A6"/>
    <w:rsid w:val="C7BA15B1"/>
    <w:rsid w:val="C7DF84CD"/>
    <w:rsid w:val="C87CE635"/>
    <w:rsid w:val="C8FF8B3B"/>
    <w:rsid w:val="CBFD0A47"/>
    <w:rsid w:val="CFF7C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71959B79-8578-432F-856F-692160A7B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uiPriority="0"/>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overflowPunct w:val="0"/>
      <w:topLinePunct/>
      <w:spacing w:line="240" w:lineRule="auto"/>
      <w:jc w:val="both"/>
    </w:pPr>
    <w:rPr>
      <w:rFonts w:eastAsia="仿宋_GB2312"/>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6">
    <w:name w:val="Table Grid"/>
    <w:basedOn w:val="a2"/>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公文标题 2"/>
    <w:qFormat/>
    <w:pPr>
      <w:widowControl w:val="0"/>
      <w:numPr>
        <w:ilvl w:val="1"/>
        <w:numId w:val="1"/>
      </w:numPr>
      <w:overflowPunct w:val="0"/>
      <w:topLinePunct/>
      <w:spacing w:line="240" w:lineRule="auto"/>
      <w:jc w:val="both"/>
    </w:pPr>
    <w:rPr>
      <w:rFonts w:eastAsia="方正楷体_GBK"/>
      <w:kern w:val="2"/>
      <w:sz w:val="32"/>
      <w:szCs w:val="32"/>
    </w:rPr>
  </w:style>
  <w:style w:type="paragraph" w:customStyle="1" w:styleId="4">
    <w:name w:val="公文标题 4"/>
    <w:qFormat/>
    <w:pPr>
      <w:widowControl w:val="0"/>
      <w:numPr>
        <w:ilvl w:val="3"/>
        <w:numId w:val="1"/>
      </w:numPr>
      <w:overflowPunct w:val="0"/>
      <w:topLinePunct/>
      <w:spacing w:line="240" w:lineRule="auto"/>
      <w:jc w:val="both"/>
    </w:pPr>
    <w:rPr>
      <w:rFonts w:eastAsia="方正仿宋_GBK"/>
      <w:kern w:val="2"/>
      <w:sz w:val="32"/>
      <w:szCs w:val="32"/>
    </w:rPr>
  </w:style>
  <w:style w:type="paragraph" w:customStyle="1" w:styleId="1">
    <w:name w:val="公文标题 1"/>
    <w:qFormat/>
    <w:pPr>
      <w:widowControl w:val="0"/>
      <w:numPr>
        <w:numId w:val="1"/>
      </w:numPr>
      <w:overflowPunct w:val="0"/>
      <w:topLinePunct/>
      <w:spacing w:line="240" w:lineRule="auto"/>
      <w:jc w:val="both"/>
    </w:pPr>
    <w:rPr>
      <w:rFonts w:eastAsia="方正黑体_GBK"/>
      <w:kern w:val="2"/>
      <w:sz w:val="32"/>
      <w:szCs w:val="32"/>
    </w:rPr>
  </w:style>
  <w:style w:type="paragraph" w:customStyle="1" w:styleId="3">
    <w:name w:val="公文标题 3"/>
    <w:qFormat/>
    <w:pPr>
      <w:widowControl w:val="0"/>
      <w:numPr>
        <w:ilvl w:val="2"/>
        <w:numId w:val="1"/>
      </w:numPr>
      <w:overflowPunct w:val="0"/>
      <w:topLinePunct/>
      <w:spacing w:line="240" w:lineRule="auto"/>
      <w:jc w:val="both"/>
    </w:pPr>
    <w:rPr>
      <w:rFonts w:eastAsia="方正仿宋_GBK"/>
      <w:kern w:val="2"/>
      <w:sz w:val="32"/>
      <w:szCs w:val="32"/>
    </w:rPr>
  </w:style>
  <w:style w:type="paragraph" w:customStyle="1" w:styleId="a7">
    <w:name w:val="首行缩进"/>
    <w:basedOn w:val="a"/>
    <w:qFormat/>
    <w:pPr>
      <w:ind w:firstLineChars="200" w:firstLine="480"/>
    </w:pPr>
    <w:rPr>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783</Words>
  <Characters>4467</Characters>
  <Application>Microsoft Office Word</Application>
  <DocSecurity>0</DocSecurity>
  <Lines>37</Lines>
  <Paragraphs>10</Paragraphs>
  <ScaleCrop>false</ScaleCrop>
  <Company/>
  <LinksUpToDate>false</LinksUpToDate>
  <CharactersWithSpaces>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No:0000001</dc:title>
  <dc:creator>oa</dc:creator>
  <cp:lastModifiedBy>demon h</cp:lastModifiedBy>
  <cp:revision>2</cp:revision>
  <cp:lastPrinted>2024-07-25T23:11:00Z</cp:lastPrinted>
  <dcterms:created xsi:type="dcterms:W3CDTF">2024-08-20T02:42:00Z</dcterms:created>
  <dcterms:modified xsi:type="dcterms:W3CDTF">2024-08-20T02:42:00Z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y fmtid="{D5CDD505-2E9C-101B-9397-08002B2CF9AE}" pid="3" name="ICV">
    <vt:lpwstr>FE7EEADF93E24636884E5ABF66D6B104_12</vt:lpwstr>
  </property>
</Properties>
</file>